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E0" w:rsidRDefault="00E529E0">
      <w:bookmarkStart w:id="0" w:name="_GoBack"/>
      <w:bookmarkEnd w:id="0"/>
    </w:p>
    <w:p w:rsidR="00276234" w:rsidRDefault="00276234">
      <w:r>
        <w:rPr>
          <w:rStyle w:val="a3"/>
          <w:rFonts w:ascii="Arial" w:hAnsi="Arial" w:cs="Arial"/>
          <w:color w:val="505252"/>
        </w:rPr>
        <w:t>Προώθηση της ηλεκτροκίνησης και άλλες διατάξεις</w:t>
      </w:r>
      <w:r>
        <w:rPr>
          <w:rFonts w:ascii="Arial" w:hAnsi="Arial" w:cs="Arial"/>
          <w:b/>
          <w:bCs/>
          <w:color w:val="505252"/>
        </w:rPr>
        <w:br/>
      </w:r>
      <w:r>
        <w:rPr>
          <w:rStyle w:val="a3"/>
          <w:rFonts w:ascii="Arial" w:hAnsi="Arial" w:cs="Arial"/>
          <w:color w:val="1A2226"/>
          <w:shd w:val="clear" w:color="auto" w:fill="FFFFFF"/>
        </w:rPr>
        <w:t xml:space="preserve">Πηγή :  </w:t>
      </w:r>
      <w:r>
        <w:rPr>
          <w:rStyle w:val="a3"/>
          <w:rFonts w:ascii="Arial" w:hAnsi="Arial" w:cs="Arial"/>
          <w:color w:val="1A2226"/>
          <w:shd w:val="clear" w:color="auto" w:fill="FFFFFF"/>
        </w:rPr>
        <w:t>ΜΕΛΟΣ ΕΛΟΤ</w:t>
      </w:r>
      <w:r>
        <w:rPr>
          <w:rStyle w:val="a3"/>
          <w:rFonts w:ascii="Arial" w:hAnsi="Arial" w:cs="Arial"/>
          <w:color w:val="1A2226"/>
          <w:shd w:val="clear" w:color="auto" w:fill="FFFFFF"/>
        </w:rPr>
        <w:t xml:space="preserve">  </w:t>
      </w:r>
      <w:hyperlink r:id="rId4" w:tgtFrame="_blank" w:history="1">
        <w:r>
          <w:rPr>
            <w:rStyle w:val="-"/>
            <w:rFonts w:ascii="Arial" w:hAnsi="Arial" w:cs="Arial"/>
            <w:color w:val="FAA046"/>
            <w:shd w:val="clear" w:color="auto" w:fill="FFFFFF"/>
          </w:rPr>
          <w:t>www.sarrisg.gr</w:t>
        </w:r>
      </w:hyperlink>
      <w:r>
        <w:rPr>
          <w:rFonts w:ascii="Arial" w:hAnsi="Arial" w:cs="Arial"/>
          <w:color w:val="1A2226"/>
        </w:rPr>
        <w:t xml:space="preserve">  </w:t>
      </w:r>
      <w:proofErr w:type="spellStart"/>
      <w:r>
        <w:rPr>
          <w:rFonts w:ascii="Arial" w:hAnsi="Arial" w:cs="Arial"/>
          <w:color w:val="1A2226"/>
          <w:shd w:val="clear" w:color="auto" w:fill="FFFFFF"/>
        </w:rPr>
        <w:t>Sarris</w:t>
      </w:r>
      <w:proofErr w:type="spellEnd"/>
      <w:r>
        <w:rPr>
          <w:rFonts w:ascii="Arial" w:hAnsi="Arial" w:cs="Arial"/>
          <w:color w:val="1A2226"/>
          <w:shd w:val="clear" w:color="auto" w:fill="FFFFFF"/>
        </w:rPr>
        <w:t xml:space="preserve"> </w:t>
      </w:r>
      <w:proofErr w:type="spellStart"/>
      <w:r>
        <w:rPr>
          <w:rFonts w:ascii="Arial" w:hAnsi="Arial" w:cs="Arial"/>
          <w:color w:val="1A2226"/>
          <w:shd w:val="clear" w:color="auto" w:fill="FFFFFF"/>
        </w:rPr>
        <w:t>George</w:t>
      </w:r>
      <w:proofErr w:type="spellEnd"/>
    </w:p>
    <w:p w:rsidR="00276234" w:rsidRDefault="00276234" w:rsidP="00276234">
      <w:pPr>
        <w:pStyle w:val="Web"/>
        <w:shd w:val="clear" w:color="auto" w:fill="EEEFFF"/>
        <w:rPr>
          <w:rFonts w:ascii="Verdana" w:hAnsi="Verdana"/>
          <w:color w:val="505252"/>
          <w:sz w:val="17"/>
          <w:szCs w:val="17"/>
        </w:rPr>
      </w:pPr>
      <w:r>
        <w:rPr>
          <w:rStyle w:val="a3"/>
          <w:rFonts w:ascii="Arial" w:hAnsi="Arial" w:cs="Arial"/>
          <w:color w:val="505252"/>
        </w:rPr>
        <w:t>Νόμος 4710, ΦΕΚ 142Α 23.07.2020 με τίτλο: Προώθηση της ηλεκτροκίνησης και άλλες διατάξεις</w:t>
      </w:r>
      <w:r>
        <w:rPr>
          <w:rFonts w:ascii="Arial" w:hAnsi="Arial" w:cs="Arial"/>
          <w:b/>
          <w:bCs/>
          <w:color w:val="505252"/>
        </w:rPr>
        <w:br/>
      </w:r>
      <w:r>
        <w:rPr>
          <w:rFonts w:ascii="Arial" w:hAnsi="Arial" w:cs="Arial"/>
          <w:color w:val="505252"/>
          <w:sz w:val="18"/>
          <w:szCs w:val="18"/>
        </w:rPr>
        <w:t>Άρθρα που κατά την άποψη του γράφοντος έχουν ιδιαίτερο ενδιαφέρον για ηλεκτρολόγους:</w:t>
      </w:r>
      <w:r>
        <w:rPr>
          <w:rFonts w:ascii="Arial" w:hAnsi="Arial" w:cs="Arial"/>
          <w:color w:val="505252"/>
          <w:sz w:val="18"/>
          <w:szCs w:val="18"/>
        </w:rPr>
        <w:br/>
      </w:r>
      <w:r>
        <w:rPr>
          <w:rFonts w:ascii="Arial" w:hAnsi="Arial" w:cs="Arial"/>
          <w:color w:val="505252"/>
          <w:sz w:val="17"/>
          <w:szCs w:val="17"/>
        </w:rPr>
        <w:t>Άρθρο 21. Εγκατάσταση υποδομών επαναφόρτισης Η/Ο σε νέα κτίρια.</w:t>
      </w:r>
      <w:r>
        <w:rPr>
          <w:rFonts w:ascii="Arial" w:hAnsi="Arial" w:cs="Arial"/>
          <w:color w:val="505252"/>
          <w:sz w:val="17"/>
          <w:szCs w:val="17"/>
        </w:rPr>
        <w:br/>
      </w:r>
      <w:r>
        <w:rPr>
          <w:rFonts w:ascii="Arial" w:hAnsi="Arial" w:cs="Arial"/>
          <w:color w:val="505252"/>
          <w:sz w:val="18"/>
          <w:szCs w:val="18"/>
        </w:rPr>
        <w:t>Άρθρο 22. Εγκατάσταση υποδομών επαναφόρτισης Η/Ο σε υφιστάμενα κτίρια.</w:t>
      </w:r>
      <w:r>
        <w:rPr>
          <w:rFonts w:ascii="Arial" w:hAnsi="Arial" w:cs="Arial"/>
          <w:color w:val="505252"/>
          <w:sz w:val="18"/>
          <w:szCs w:val="18"/>
        </w:rPr>
        <w:br/>
        <w:t>Άρθρο 23. Εγκατάσταση υποδομών επαναφόρτισης Η/Ο σε χώρους όπου στεγάζονται φορείς της Γενικής Κυβέρνησης.</w:t>
      </w:r>
      <w:r>
        <w:rPr>
          <w:rFonts w:ascii="Arial" w:hAnsi="Arial" w:cs="Arial"/>
          <w:color w:val="505252"/>
          <w:sz w:val="18"/>
          <w:szCs w:val="18"/>
        </w:rPr>
        <w:br/>
        <w:t>Άρθρο 24. Προϋποθέσεις εγκατάστασης σημείων επαναφόρτισης Η/Ο σε κτίρια.</w:t>
      </w:r>
      <w:r>
        <w:rPr>
          <w:rFonts w:ascii="Arial" w:hAnsi="Arial" w:cs="Arial"/>
          <w:color w:val="505252"/>
          <w:sz w:val="18"/>
          <w:szCs w:val="18"/>
        </w:rPr>
        <w:br/>
        <w:t>Άρθρο 26. Μέτρα πυροπροστασίας.</w:t>
      </w:r>
      <w:r>
        <w:rPr>
          <w:rFonts w:ascii="Arial" w:hAnsi="Arial" w:cs="Arial"/>
          <w:color w:val="505252"/>
          <w:sz w:val="18"/>
          <w:szCs w:val="18"/>
        </w:rPr>
        <w:br/>
        <w:t>Άρθρο 27. Προδιαγραφές ηλεκτρικής εγκατάστασης σημείων επαναφόρτισης Η/Ο - Σύνδεση στο δίκτυο διανομής ηλεκτρικής ενέργειας.</w:t>
      </w:r>
      <w:r>
        <w:rPr>
          <w:rFonts w:ascii="Arial" w:hAnsi="Arial" w:cs="Arial"/>
          <w:color w:val="505252"/>
          <w:sz w:val="18"/>
          <w:szCs w:val="18"/>
        </w:rPr>
        <w:br/>
        <w:t xml:space="preserve">Στο Άρθρο αυτό αναφέρεται: Οι ηλεκτρολογικές εγκαταστάσεις των σημείων επαναφόρτισης Η/Ο σχεδιάζονται, κατασκευάζονται, λειτουργούν και ελέγχονται σύμφωνα με τις απαιτήσεις και προδιαγραφές που ορίζονται στο Ελληνικό Πρότυπο ΕΛΟΤ 60364 «Απαιτήσεις για ηλεκτρικές εγκαταστάσεις», ή στα αντίστοιχα ισοδύναμα ευρωπαϊκά και διεθνή πρότυπα. Το ΕΛΟΤ 603634 είναι το νέο Ελληνικό πρότυπο που πρόκειται να </w:t>
      </w:r>
      <w:proofErr w:type="spellStart"/>
      <w:r>
        <w:rPr>
          <w:rFonts w:ascii="Arial" w:hAnsi="Arial" w:cs="Arial"/>
          <w:color w:val="505252"/>
          <w:sz w:val="18"/>
          <w:szCs w:val="18"/>
        </w:rPr>
        <w:t>αντικαταστάσει</w:t>
      </w:r>
      <w:proofErr w:type="spellEnd"/>
      <w:r>
        <w:rPr>
          <w:rFonts w:ascii="Arial" w:hAnsi="Arial" w:cs="Arial"/>
          <w:color w:val="505252"/>
          <w:sz w:val="18"/>
          <w:szCs w:val="18"/>
        </w:rPr>
        <w:t xml:space="preserve"> το EΛOT HD 384 (όταν νομοθετηθεί) και η επεξεργασία του έχει ολοκληρωθεί από τον ΕΛΟΤ. Για την χρήση αντίστοιχων ισοδύναμων ευρωπαϊκών και διεθνών προτύπων αναμένονται διευκρινήσεις</w:t>
      </w:r>
      <w:r>
        <w:rPr>
          <w:rFonts w:ascii="Arial" w:hAnsi="Arial" w:cs="Arial"/>
          <w:color w:val="505252"/>
          <w:sz w:val="21"/>
          <w:szCs w:val="21"/>
        </w:rPr>
        <w:t>. </w:t>
      </w:r>
    </w:p>
    <w:p w:rsidR="00276234" w:rsidRDefault="00276234" w:rsidP="00276234">
      <w:pPr>
        <w:pStyle w:val="Web"/>
        <w:shd w:val="clear" w:color="auto" w:fill="EEEFFF"/>
        <w:rPr>
          <w:rFonts w:ascii="Verdana" w:hAnsi="Verdana"/>
          <w:color w:val="505252"/>
          <w:sz w:val="17"/>
          <w:szCs w:val="17"/>
        </w:rPr>
      </w:pPr>
      <w:r>
        <w:rPr>
          <w:rFonts w:ascii="Arial" w:hAnsi="Arial" w:cs="Arial"/>
          <w:color w:val="505252"/>
          <w:sz w:val="18"/>
          <w:szCs w:val="18"/>
        </w:rPr>
        <w:t>Το ΦΕΚ </w:t>
      </w:r>
      <w:hyperlink r:id="rId5" w:tgtFrame="_blank" w:history="1">
        <w:r>
          <w:rPr>
            <w:rStyle w:val="-"/>
            <w:rFonts w:ascii="Arial" w:hAnsi="Arial" w:cs="Arial"/>
            <w:color w:val="0033CC"/>
            <w:sz w:val="18"/>
            <w:szCs w:val="18"/>
            <w:u w:val="none"/>
          </w:rPr>
          <w:t>είναι διαθέσιμο εδώ</w:t>
        </w:r>
      </w:hyperlink>
      <w:r>
        <w:rPr>
          <w:rFonts w:ascii="Arial" w:hAnsi="Arial" w:cs="Arial"/>
          <w:color w:val="505252"/>
          <w:sz w:val="18"/>
          <w:szCs w:val="18"/>
        </w:rPr>
        <w:t>, είναι διαθέσιμο στο Εθνικό Τυπογραφείο, αλλά και στο διαδίκτυο. </w:t>
      </w:r>
    </w:p>
    <w:p w:rsidR="00276234" w:rsidRDefault="00276234" w:rsidP="00276234">
      <w:pPr>
        <w:pStyle w:val="Web"/>
        <w:shd w:val="clear" w:color="auto" w:fill="EEEFFF"/>
        <w:rPr>
          <w:rFonts w:ascii="Verdana" w:hAnsi="Verdana"/>
          <w:color w:val="505252"/>
          <w:sz w:val="17"/>
          <w:szCs w:val="17"/>
        </w:rPr>
      </w:pPr>
      <w:r>
        <w:rPr>
          <w:rFonts w:ascii="Verdana" w:hAnsi="Verdana"/>
          <w:color w:val="505252"/>
          <w:sz w:val="17"/>
          <w:szCs w:val="17"/>
        </w:rPr>
        <w:t> </w:t>
      </w:r>
    </w:p>
    <w:p w:rsidR="00276234" w:rsidRDefault="00276234" w:rsidP="00276234">
      <w:pPr>
        <w:pStyle w:val="Web"/>
        <w:shd w:val="clear" w:color="auto" w:fill="EEEFFF"/>
        <w:rPr>
          <w:rFonts w:ascii="Verdana" w:hAnsi="Verdana"/>
          <w:color w:val="505252"/>
          <w:sz w:val="17"/>
          <w:szCs w:val="17"/>
        </w:rPr>
      </w:pPr>
      <w:r>
        <w:rPr>
          <w:rStyle w:val="a3"/>
          <w:rFonts w:ascii="Arial" w:hAnsi="Arial" w:cs="Arial"/>
          <w:color w:val="505252"/>
        </w:rPr>
        <w:t>ΦΕΚ με αριθ. 2040 Β, της 04.06.2019, ΚΥΑ 42863/438</w:t>
      </w:r>
    </w:p>
    <w:p w:rsidR="00276234" w:rsidRDefault="00276234" w:rsidP="00276234">
      <w:pPr>
        <w:pStyle w:val="Web"/>
        <w:shd w:val="clear" w:color="auto" w:fill="EEEFFF"/>
        <w:rPr>
          <w:rFonts w:ascii="Verdana" w:hAnsi="Verdana"/>
          <w:color w:val="505252"/>
          <w:sz w:val="17"/>
          <w:szCs w:val="17"/>
        </w:rPr>
      </w:pPr>
      <w:r>
        <w:rPr>
          <w:rStyle w:val="a3"/>
          <w:rFonts w:ascii="Arial" w:hAnsi="Arial" w:cs="Arial"/>
          <w:color w:val="505252"/>
          <w:sz w:val="18"/>
          <w:szCs w:val="18"/>
        </w:rPr>
        <w:t xml:space="preserve">Καθορισμός των όρων, των προϋποθέσεων και των τεχνικών προδιαγραφών για την εγκατάσταση συσκευών φόρτισης συσσωρευτών ηλεκτροκίνητων οχημάτων (σημεία επαναφόρτισης), </w:t>
      </w:r>
      <w:proofErr w:type="spellStart"/>
      <w:r>
        <w:rPr>
          <w:rStyle w:val="a3"/>
          <w:rFonts w:ascii="Arial" w:hAnsi="Arial" w:cs="Arial"/>
          <w:color w:val="505252"/>
          <w:sz w:val="18"/>
          <w:szCs w:val="18"/>
        </w:rPr>
        <w:t>στιςεγκαταστάσεις</w:t>
      </w:r>
      <w:proofErr w:type="spellEnd"/>
      <w:r>
        <w:rPr>
          <w:rStyle w:val="a3"/>
          <w:rFonts w:ascii="Arial" w:hAnsi="Arial" w:cs="Arial"/>
          <w:color w:val="505252"/>
          <w:sz w:val="18"/>
          <w:szCs w:val="18"/>
        </w:rPr>
        <w:t xml:space="preserve"> εξυπηρέτησης οχημάτων, </w:t>
      </w:r>
      <w:r>
        <w:rPr>
          <w:rStyle w:val="a3"/>
          <w:rFonts w:ascii="Arial" w:hAnsi="Arial" w:cs="Arial"/>
          <w:color w:val="505252"/>
          <w:sz w:val="18"/>
          <w:szCs w:val="18"/>
          <w:u w:val="single"/>
        </w:rPr>
        <w:t xml:space="preserve">σε δημοσίως </w:t>
      </w:r>
      <w:proofErr w:type="spellStart"/>
      <w:r>
        <w:rPr>
          <w:rStyle w:val="a3"/>
          <w:rFonts w:ascii="Arial" w:hAnsi="Arial" w:cs="Arial"/>
          <w:color w:val="505252"/>
          <w:sz w:val="18"/>
          <w:szCs w:val="18"/>
          <w:u w:val="single"/>
        </w:rPr>
        <w:t>προσβάσιμα</w:t>
      </w:r>
      <w:proofErr w:type="spellEnd"/>
      <w:r>
        <w:rPr>
          <w:rStyle w:val="a3"/>
          <w:rFonts w:ascii="Arial" w:hAnsi="Arial" w:cs="Arial"/>
          <w:color w:val="505252"/>
          <w:sz w:val="18"/>
          <w:szCs w:val="18"/>
          <w:u w:val="single"/>
        </w:rPr>
        <w:t xml:space="preserve"> σημεία επαναφόρτισης</w:t>
      </w:r>
      <w:r>
        <w:rPr>
          <w:rStyle w:val="a3"/>
          <w:rFonts w:ascii="Arial" w:hAnsi="Arial" w:cs="Arial"/>
          <w:color w:val="505252"/>
          <w:sz w:val="18"/>
          <w:szCs w:val="18"/>
        </w:rPr>
        <w:t> κατά μήκος του αστικού, υπεραστικού και εθνικού οδικού δικτύου καθώς και σε χώρους στάθμευσης δημόσιων και ιδιωτικών κτιρίων.</w:t>
      </w:r>
    </w:p>
    <w:p w:rsidR="00276234" w:rsidRDefault="00276234" w:rsidP="00276234">
      <w:pPr>
        <w:pStyle w:val="Web"/>
        <w:shd w:val="clear" w:color="auto" w:fill="EEEFFF"/>
        <w:rPr>
          <w:rFonts w:ascii="Verdana" w:hAnsi="Verdana"/>
          <w:color w:val="505252"/>
          <w:sz w:val="17"/>
          <w:szCs w:val="17"/>
        </w:rPr>
      </w:pPr>
      <w:r>
        <w:rPr>
          <w:rStyle w:val="a3"/>
          <w:rFonts w:ascii="Arial" w:hAnsi="Arial" w:cs="Arial"/>
          <w:color w:val="505252"/>
          <w:sz w:val="18"/>
          <w:szCs w:val="18"/>
        </w:rPr>
        <w:t>Περιλαμβάνει ισχύουσα ηλεκτρολογική Νομοθεσία</w:t>
      </w:r>
    </w:p>
    <w:p w:rsidR="00276234" w:rsidRDefault="00276234" w:rsidP="00276234">
      <w:pPr>
        <w:pStyle w:val="Web"/>
        <w:shd w:val="clear" w:color="auto" w:fill="EEEFFF"/>
        <w:rPr>
          <w:rFonts w:ascii="Verdana" w:hAnsi="Verdana"/>
          <w:color w:val="505252"/>
          <w:sz w:val="17"/>
          <w:szCs w:val="17"/>
        </w:rPr>
      </w:pPr>
      <w:r>
        <w:rPr>
          <w:rStyle w:val="a3"/>
          <w:rFonts w:ascii="Arial" w:hAnsi="Arial" w:cs="Arial"/>
          <w:color w:val="505252"/>
          <w:sz w:val="18"/>
          <w:szCs w:val="18"/>
        </w:rPr>
        <w:t xml:space="preserve">Στο </w:t>
      </w:r>
      <w:proofErr w:type="spellStart"/>
      <w:r>
        <w:rPr>
          <w:rStyle w:val="a3"/>
          <w:rFonts w:ascii="Arial" w:hAnsi="Arial" w:cs="Arial"/>
          <w:color w:val="505252"/>
          <w:sz w:val="18"/>
          <w:szCs w:val="18"/>
        </w:rPr>
        <w:t>κγ</w:t>
      </w:r>
      <w:proofErr w:type="spellEnd"/>
      <w:r>
        <w:rPr>
          <w:rStyle w:val="a3"/>
          <w:rFonts w:ascii="Arial" w:hAnsi="Arial" w:cs="Arial"/>
          <w:color w:val="505252"/>
          <w:sz w:val="18"/>
          <w:szCs w:val="18"/>
        </w:rPr>
        <w:t>):</w:t>
      </w:r>
      <w:r>
        <w:rPr>
          <w:rFonts w:ascii="Arial" w:hAnsi="Arial" w:cs="Arial"/>
          <w:color w:val="505252"/>
          <w:sz w:val="18"/>
          <w:szCs w:val="18"/>
        </w:rPr>
        <w:t> τον Νόμο 4483/1965 «Περί καταργήσεως του υποχρεωτικού Κρατικού Ελέγχου των εσωτερικών ηλεκτρικών εγκαταστάσεων και άλλων τινών διατάξεων» (Α΄ 118), όπως ισχύει.</w:t>
      </w:r>
      <w:r>
        <w:rPr>
          <w:rFonts w:ascii="Verdana" w:hAnsi="Verdana"/>
          <w:color w:val="505252"/>
          <w:sz w:val="17"/>
          <w:szCs w:val="17"/>
        </w:rPr>
        <w:br/>
      </w:r>
      <w:r>
        <w:rPr>
          <w:rStyle w:val="a3"/>
          <w:rFonts w:ascii="Arial" w:hAnsi="Arial" w:cs="Arial"/>
          <w:color w:val="505252"/>
          <w:sz w:val="18"/>
          <w:szCs w:val="18"/>
        </w:rPr>
        <w:t xml:space="preserve">Στο </w:t>
      </w:r>
      <w:proofErr w:type="spellStart"/>
      <w:r>
        <w:rPr>
          <w:rStyle w:val="a3"/>
          <w:rFonts w:ascii="Arial" w:hAnsi="Arial" w:cs="Arial"/>
          <w:color w:val="505252"/>
          <w:sz w:val="18"/>
          <w:szCs w:val="18"/>
        </w:rPr>
        <w:t>λβ</w:t>
      </w:r>
      <w:proofErr w:type="spellEnd"/>
      <w:r>
        <w:rPr>
          <w:rStyle w:val="a3"/>
          <w:rFonts w:ascii="Arial" w:hAnsi="Arial" w:cs="Arial"/>
          <w:color w:val="505252"/>
          <w:sz w:val="18"/>
          <w:szCs w:val="18"/>
        </w:rPr>
        <w:t>):</w:t>
      </w:r>
      <w:r>
        <w:rPr>
          <w:rFonts w:ascii="Arial" w:hAnsi="Arial" w:cs="Arial"/>
          <w:color w:val="505252"/>
          <w:sz w:val="18"/>
          <w:szCs w:val="18"/>
        </w:rPr>
        <w:t xml:space="preserve"> το </w:t>
      </w:r>
      <w:proofErr w:type="spellStart"/>
      <w:r>
        <w:rPr>
          <w:rFonts w:ascii="Arial" w:hAnsi="Arial" w:cs="Arial"/>
          <w:color w:val="505252"/>
          <w:sz w:val="18"/>
          <w:szCs w:val="18"/>
        </w:rPr>
        <w:t>π.δ.</w:t>
      </w:r>
      <w:proofErr w:type="spellEnd"/>
      <w:r>
        <w:rPr>
          <w:rFonts w:ascii="Arial" w:hAnsi="Arial" w:cs="Arial"/>
          <w:color w:val="505252"/>
          <w:sz w:val="18"/>
          <w:szCs w:val="18"/>
        </w:rPr>
        <w:t xml:space="preserve"> 108/2013 «Καθορισμός ειδικοτήτων και βαθμίδων επαγγελματικών προσόντων για την επαγγελματική δραστηριότητα της εκτέλεσης, συντήρησης, επισκευής και λειτουργίας ηλεκτρολογικών εγκαταστάσεων και προϋποθέσεις για την άσκηση της δραστηριότητας αυτής από φυσικά πρόσωπα» (Α΄ 141), όπως ισχύει.</w:t>
      </w:r>
      <w:r>
        <w:rPr>
          <w:rFonts w:ascii="Verdana" w:hAnsi="Verdana"/>
          <w:color w:val="505252"/>
          <w:sz w:val="17"/>
          <w:szCs w:val="17"/>
        </w:rPr>
        <w:br/>
      </w:r>
      <w:r>
        <w:rPr>
          <w:rStyle w:val="a3"/>
          <w:rFonts w:ascii="Arial" w:hAnsi="Arial" w:cs="Arial"/>
          <w:color w:val="505252"/>
          <w:sz w:val="18"/>
          <w:szCs w:val="18"/>
        </w:rPr>
        <w:t xml:space="preserve">Στο </w:t>
      </w:r>
      <w:proofErr w:type="spellStart"/>
      <w:r>
        <w:rPr>
          <w:rStyle w:val="a3"/>
          <w:rFonts w:ascii="Arial" w:hAnsi="Arial" w:cs="Arial"/>
          <w:color w:val="505252"/>
          <w:sz w:val="18"/>
          <w:szCs w:val="18"/>
        </w:rPr>
        <w:t>λδ</w:t>
      </w:r>
      <w:proofErr w:type="spellEnd"/>
      <w:r>
        <w:rPr>
          <w:rStyle w:val="a3"/>
          <w:rFonts w:ascii="Arial" w:hAnsi="Arial" w:cs="Arial"/>
          <w:color w:val="505252"/>
          <w:sz w:val="18"/>
          <w:szCs w:val="18"/>
        </w:rPr>
        <w:t>):</w:t>
      </w:r>
      <w:r>
        <w:rPr>
          <w:rFonts w:ascii="Arial" w:hAnsi="Arial" w:cs="Arial"/>
          <w:color w:val="505252"/>
          <w:sz w:val="18"/>
          <w:szCs w:val="18"/>
        </w:rPr>
        <w:t xml:space="preserve"> την κοινή απόφαση των Υπουργών Οικονομίας, Ανάπτυξης και Εμπορίου και Περιβάλλοντος και Ενέργειας </w:t>
      </w:r>
      <w:proofErr w:type="spellStart"/>
      <w:r>
        <w:rPr>
          <w:rFonts w:ascii="Arial" w:hAnsi="Arial" w:cs="Arial"/>
          <w:color w:val="505252"/>
          <w:sz w:val="18"/>
          <w:szCs w:val="18"/>
        </w:rPr>
        <w:t>αριθμ</w:t>
      </w:r>
      <w:proofErr w:type="spellEnd"/>
      <w:r>
        <w:rPr>
          <w:rFonts w:ascii="Arial" w:hAnsi="Arial" w:cs="Arial"/>
          <w:color w:val="505252"/>
          <w:sz w:val="18"/>
          <w:szCs w:val="18"/>
        </w:rPr>
        <w:t>. οικ.51157/ΔΤΒΝ/1129/17-5-2016 «Προσαρμογή της ελληνικής νομοθεσίας στην Οδηγία 2014/35/ ΕΕ του Ευρωπαϊκού Κοινοβουλίου και του Συμβουλίου της 26ης Φεβρουαρίου 2014 για την εναρμόνιση των νομοθεσιών των κρατών μελών σχετικά με τη διαθεσιμότητα στην αγορά ηλεκτρολογικού υλικού που προορίζεται να χρησιμοποιηθεί εντός ορισμένων ορίων τάσης» (Β΄ 1425).</w:t>
      </w:r>
      <w:r>
        <w:rPr>
          <w:rFonts w:ascii="Verdana" w:hAnsi="Verdana"/>
          <w:color w:val="505252"/>
          <w:sz w:val="17"/>
          <w:szCs w:val="17"/>
        </w:rPr>
        <w:br/>
      </w:r>
      <w:r>
        <w:rPr>
          <w:rStyle w:val="a3"/>
          <w:rFonts w:ascii="Arial" w:hAnsi="Arial" w:cs="Arial"/>
          <w:color w:val="505252"/>
          <w:sz w:val="18"/>
          <w:szCs w:val="18"/>
        </w:rPr>
        <w:t xml:space="preserve">Στο </w:t>
      </w:r>
      <w:proofErr w:type="spellStart"/>
      <w:r>
        <w:rPr>
          <w:rStyle w:val="a3"/>
          <w:rFonts w:ascii="Arial" w:hAnsi="Arial" w:cs="Arial"/>
          <w:color w:val="505252"/>
          <w:sz w:val="18"/>
          <w:szCs w:val="18"/>
        </w:rPr>
        <w:t>λστ</w:t>
      </w:r>
      <w:proofErr w:type="spellEnd"/>
      <w:r>
        <w:rPr>
          <w:rStyle w:val="a3"/>
          <w:rFonts w:ascii="Arial" w:hAnsi="Arial" w:cs="Arial"/>
          <w:color w:val="505252"/>
          <w:sz w:val="18"/>
          <w:szCs w:val="18"/>
        </w:rPr>
        <w:t>):</w:t>
      </w:r>
      <w:r>
        <w:rPr>
          <w:rFonts w:ascii="Arial" w:hAnsi="Arial" w:cs="Arial"/>
          <w:color w:val="505252"/>
          <w:sz w:val="18"/>
          <w:szCs w:val="18"/>
        </w:rPr>
        <w:t xml:space="preserve"> Την απόφαση του Υφυπουργού Ανάπτυξης </w:t>
      </w:r>
      <w:proofErr w:type="spellStart"/>
      <w:r>
        <w:rPr>
          <w:rFonts w:ascii="Arial" w:hAnsi="Arial" w:cs="Arial"/>
          <w:color w:val="505252"/>
          <w:sz w:val="18"/>
          <w:szCs w:val="18"/>
        </w:rPr>
        <w:t>αριθμ</w:t>
      </w:r>
      <w:proofErr w:type="spellEnd"/>
      <w:r>
        <w:rPr>
          <w:rFonts w:ascii="Arial" w:hAnsi="Arial" w:cs="Arial"/>
          <w:color w:val="505252"/>
          <w:sz w:val="18"/>
          <w:szCs w:val="18"/>
        </w:rPr>
        <w:t>. Φ.7.5/1816/88/27-2-2004 «Αντικατάσταση του ισχύοντος Κανονισμού Εσωτερικών Ηλεκτρικών Εγκαταστάσεων(Κ.Ε.Η.Ε. με το πρότυπο ΕΛΟΤ HD 384 και άλλες σχετικές διατάξεις)» (Β' 470), όπως ισχύει.</w:t>
      </w:r>
    </w:p>
    <w:p w:rsidR="00276234" w:rsidRDefault="00276234" w:rsidP="00276234">
      <w:pPr>
        <w:pStyle w:val="Web"/>
        <w:shd w:val="clear" w:color="auto" w:fill="EEEFFF"/>
        <w:rPr>
          <w:rFonts w:ascii="Verdana" w:hAnsi="Verdana"/>
          <w:color w:val="505252"/>
          <w:sz w:val="17"/>
          <w:szCs w:val="17"/>
        </w:rPr>
      </w:pPr>
      <w:r>
        <w:rPr>
          <w:rFonts w:ascii="Arial" w:hAnsi="Arial" w:cs="Arial"/>
          <w:color w:val="505252"/>
          <w:sz w:val="18"/>
          <w:szCs w:val="18"/>
        </w:rPr>
        <w:t> </w:t>
      </w:r>
      <w:r>
        <w:rPr>
          <w:rStyle w:val="a3"/>
          <w:rFonts w:ascii="Arial" w:hAnsi="Arial" w:cs="Arial"/>
          <w:color w:val="505252"/>
          <w:sz w:val="18"/>
          <w:szCs w:val="18"/>
        </w:rPr>
        <w:t>Ορίζει, περιγράφει, κατηγορίες σημείων επαναφόρτισης</w:t>
      </w:r>
      <w:r>
        <w:rPr>
          <w:rFonts w:ascii="Arial" w:hAnsi="Arial" w:cs="Arial"/>
          <w:b/>
          <w:bCs/>
          <w:color w:val="505252"/>
          <w:sz w:val="18"/>
          <w:szCs w:val="18"/>
        </w:rPr>
        <w:br/>
      </w:r>
      <w:r>
        <w:rPr>
          <w:rFonts w:ascii="Arial" w:hAnsi="Arial" w:cs="Arial"/>
          <w:color w:val="505252"/>
          <w:sz w:val="18"/>
          <w:szCs w:val="18"/>
        </w:rPr>
        <w:t>«</w:t>
      </w:r>
      <w:r>
        <w:rPr>
          <w:rStyle w:val="a3"/>
          <w:rFonts w:ascii="Arial" w:hAnsi="Arial" w:cs="Arial"/>
          <w:color w:val="505252"/>
          <w:sz w:val="18"/>
          <w:szCs w:val="18"/>
        </w:rPr>
        <w:t>Σημείο επαναφόρτισης κανονικής ισχύος</w:t>
      </w:r>
      <w:r>
        <w:rPr>
          <w:rFonts w:ascii="Arial" w:hAnsi="Arial" w:cs="Arial"/>
          <w:color w:val="505252"/>
          <w:sz w:val="18"/>
          <w:szCs w:val="18"/>
        </w:rPr>
        <w:t xml:space="preserve">»: Στο γ) του Άρθρου 2, είναι σημείο επαναφόρτισης ηλεκτρικού (ηλεκτροκίνητου) οχήματος, ηλεκτρικής ισχύος έως και 22 </w:t>
      </w:r>
      <w:proofErr w:type="spellStart"/>
      <w:r>
        <w:rPr>
          <w:rFonts w:ascii="Arial" w:hAnsi="Arial" w:cs="Arial"/>
          <w:color w:val="505252"/>
          <w:sz w:val="18"/>
          <w:szCs w:val="18"/>
        </w:rPr>
        <w:t>kW</w:t>
      </w:r>
      <w:proofErr w:type="spellEnd"/>
      <w:r>
        <w:rPr>
          <w:rFonts w:ascii="Arial" w:hAnsi="Arial" w:cs="Arial"/>
          <w:color w:val="505252"/>
          <w:sz w:val="18"/>
          <w:szCs w:val="18"/>
        </w:rPr>
        <w:t xml:space="preserve">. Αποκλείονται από αυτήν την κατηγορία, τα σημεία επαναφόρτισης με ηλεκτρική ισχύ έως και 3,7 </w:t>
      </w:r>
      <w:proofErr w:type="spellStart"/>
      <w:r>
        <w:rPr>
          <w:rFonts w:ascii="Arial" w:hAnsi="Arial" w:cs="Arial"/>
          <w:color w:val="505252"/>
          <w:sz w:val="18"/>
          <w:szCs w:val="18"/>
        </w:rPr>
        <w:t>kW</w:t>
      </w:r>
      <w:proofErr w:type="spellEnd"/>
      <w:r>
        <w:rPr>
          <w:rFonts w:ascii="Arial" w:hAnsi="Arial" w:cs="Arial"/>
          <w:color w:val="505252"/>
          <w:sz w:val="18"/>
          <w:szCs w:val="18"/>
        </w:rPr>
        <w:t xml:space="preserve">, (επισήμανση: Αφορά ρευματοδότες με ονομαστικό ρεύμα 16 Α και ονομαστική τάση 230V) τα οποία είναι εγκατεστημένα σε ιδιωτικές κατοικίες ή ο κύριος σκοπός τους δεν είναι να φορτίζουν ηλεκτρικά οχήματα και τα οποία δεν είναι δημοσίως </w:t>
      </w:r>
      <w:proofErr w:type="spellStart"/>
      <w:r>
        <w:rPr>
          <w:rFonts w:ascii="Arial" w:hAnsi="Arial" w:cs="Arial"/>
          <w:color w:val="505252"/>
          <w:sz w:val="18"/>
          <w:szCs w:val="18"/>
        </w:rPr>
        <w:t>προσβάσιμα</w:t>
      </w:r>
      <w:proofErr w:type="spellEnd"/>
      <w:r>
        <w:rPr>
          <w:rFonts w:ascii="Arial" w:hAnsi="Arial" w:cs="Arial"/>
          <w:color w:val="505252"/>
          <w:sz w:val="18"/>
          <w:szCs w:val="18"/>
        </w:rPr>
        <w:t>.</w:t>
      </w:r>
      <w:r>
        <w:rPr>
          <w:rFonts w:ascii="Verdana" w:hAnsi="Verdana"/>
          <w:color w:val="505252"/>
          <w:sz w:val="17"/>
          <w:szCs w:val="17"/>
        </w:rPr>
        <w:br/>
      </w:r>
      <w:r>
        <w:rPr>
          <w:rFonts w:ascii="Arial" w:hAnsi="Arial" w:cs="Arial"/>
          <w:color w:val="505252"/>
          <w:sz w:val="18"/>
          <w:szCs w:val="18"/>
        </w:rPr>
        <w:t>«</w:t>
      </w:r>
      <w:r>
        <w:rPr>
          <w:rStyle w:val="a3"/>
          <w:rFonts w:ascii="Arial" w:hAnsi="Arial" w:cs="Arial"/>
          <w:color w:val="505252"/>
          <w:sz w:val="18"/>
          <w:szCs w:val="18"/>
        </w:rPr>
        <w:t>Σημείο επαναφόρτισης υψηλής ισχύος</w:t>
      </w:r>
      <w:r>
        <w:rPr>
          <w:rFonts w:ascii="Arial" w:hAnsi="Arial" w:cs="Arial"/>
          <w:color w:val="505252"/>
          <w:sz w:val="18"/>
          <w:szCs w:val="18"/>
        </w:rPr>
        <w:t xml:space="preserve">»: Στο δ) του Άρθρου 2, είναι σημείο επαναφόρτισης ηλεκτρικού (ηλεκτροκίνητου) οχήματος, ηλεκτρικής ισχύος μεγαλύτερης των 22 </w:t>
      </w:r>
      <w:proofErr w:type="spellStart"/>
      <w:r>
        <w:rPr>
          <w:rFonts w:ascii="Arial" w:hAnsi="Arial" w:cs="Arial"/>
          <w:color w:val="505252"/>
          <w:sz w:val="18"/>
          <w:szCs w:val="18"/>
        </w:rPr>
        <w:t>kW</w:t>
      </w:r>
      <w:proofErr w:type="spellEnd"/>
      <w:r>
        <w:rPr>
          <w:rFonts w:ascii="Arial" w:hAnsi="Arial" w:cs="Arial"/>
          <w:color w:val="505252"/>
          <w:sz w:val="18"/>
          <w:szCs w:val="18"/>
        </w:rPr>
        <w:t>.</w:t>
      </w:r>
      <w:r>
        <w:rPr>
          <w:rFonts w:ascii="Verdana" w:hAnsi="Verdana"/>
          <w:color w:val="505252"/>
          <w:sz w:val="17"/>
          <w:szCs w:val="17"/>
        </w:rPr>
        <w:br/>
      </w:r>
      <w:r>
        <w:rPr>
          <w:rFonts w:ascii="Arial" w:hAnsi="Arial" w:cs="Arial"/>
          <w:color w:val="505252"/>
          <w:sz w:val="18"/>
          <w:szCs w:val="18"/>
        </w:rPr>
        <w:lastRenderedPageBreak/>
        <w:t>«</w:t>
      </w:r>
      <w:r>
        <w:rPr>
          <w:rStyle w:val="a3"/>
          <w:rFonts w:ascii="Arial" w:hAnsi="Arial" w:cs="Arial"/>
          <w:color w:val="505252"/>
          <w:sz w:val="18"/>
          <w:szCs w:val="18"/>
        </w:rPr>
        <w:t xml:space="preserve">Δημοσίως </w:t>
      </w:r>
      <w:proofErr w:type="spellStart"/>
      <w:r>
        <w:rPr>
          <w:rStyle w:val="a3"/>
          <w:rFonts w:ascii="Arial" w:hAnsi="Arial" w:cs="Arial"/>
          <w:color w:val="505252"/>
          <w:sz w:val="18"/>
          <w:szCs w:val="18"/>
        </w:rPr>
        <w:t>προσβάσιμο</w:t>
      </w:r>
      <w:proofErr w:type="spellEnd"/>
      <w:r>
        <w:rPr>
          <w:rStyle w:val="a3"/>
          <w:rFonts w:ascii="Arial" w:hAnsi="Arial" w:cs="Arial"/>
          <w:color w:val="505252"/>
          <w:sz w:val="18"/>
          <w:szCs w:val="18"/>
        </w:rPr>
        <w:t xml:space="preserve"> σημείο επαναφόρτισης ή ανεφοδιασμού</w:t>
      </w:r>
      <w:r>
        <w:rPr>
          <w:rFonts w:ascii="Arial" w:hAnsi="Arial" w:cs="Arial"/>
          <w:color w:val="505252"/>
          <w:sz w:val="18"/>
          <w:szCs w:val="18"/>
        </w:rPr>
        <w:t xml:space="preserve">»: Στο ε) του Άρθρου 2, είναι σημείο ηλεκτρικής επαναφόρτισης ή ανεφοδιασμού εναλλακτικού καυσίμου, </w:t>
      </w:r>
      <w:proofErr w:type="spellStart"/>
      <w:r>
        <w:rPr>
          <w:rFonts w:ascii="Arial" w:hAnsi="Arial" w:cs="Arial"/>
          <w:color w:val="505252"/>
          <w:sz w:val="18"/>
          <w:szCs w:val="18"/>
        </w:rPr>
        <w:t>προσβάσιμο</w:t>
      </w:r>
      <w:proofErr w:type="spellEnd"/>
      <w:r>
        <w:rPr>
          <w:rFonts w:ascii="Arial" w:hAnsi="Arial" w:cs="Arial"/>
          <w:color w:val="505252"/>
          <w:sz w:val="18"/>
          <w:szCs w:val="18"/>
        </w:rPr>
        <w:t>, άνευ διακρίσεων, σε όλους τους χρήστες. Η άνευ διακρίσεων πρόσβαση μπορεί να περιλαμβάνει διάφορα μέσα για την ταυτοποίηση, τη χρήση και την πληρωμή.</w:t>
      </w:r>
    </w:p>
    <w:p w:rsidR="00276234" w:rsidRDefault="00276234" w:rsidP="00276234">
      <w:pPr>
        <w:pStyle w:val="Web"/>
        <w:shd w:val="clear" w:color="auto" w:fill="EEEFFF"/>
        <w:rPr>
          <w:rFonts w:ascii="Verdana" w:hAnsi="Verdana"/>
          <w:color w:val="505252"/>
          <w:sz w:val="17"/>
          <w:szCs w:val="17"/>
        </w:rPr>
      </w:pPr>
      <w:r>
        <w:rPr>
          <w:rFonts w:ascii="Arial" w:hAnsi="Arial" w:cs="Arial"/>
          <w:color w:val="505252"/>
          <w:sz w:val="18"/>
          <w:szCs w:val="18"/>
        </w:rPr>
        <w:t> </w:t>
      </w:r>
      <w:r>
        <w:rPr>
          <w:rStyle w:val="a3"/>
          <w:rFonts w:ascii="Arial" w:hAnsi="Arial" w:cs="Arial"/>
          <w:color w:val="505252"/>
          <w:sz w:val="18"/>
          <w:szCs w:val="18"/>
        </w:rPr>
        <w:t>Νομοθετεί (άρα γίνονται υποχρεωτικά για την Ελλάδα) τα Ευρωπαϊκά Πρότυπα</w:t>
      </w:r>
      <w:r>
        <w:rPr>
          <w:rFonts w:ascii="Arial" w:hAnsi="Arial" w:cs="Arial"/>
          <w:b/>
          <w:bCs/>
          <w:color w:val="505252"/>
          <w:sz w:val="18"/>
          <w:szCs w:val="18"/>
        </w:rPr>
        <w:br/>
      </w:r>
      <w:r>
        <w:rPr>
          <w:rFonts w:ascii="Arial" w:hAnsi="Arial" w:cs="Arial"/>
          <w:color w:val="505252"/>
          <w:sz w:val="18"/>
          <w:szCs w:val="18"/>
        </w:rPr>
        <w:t>Με βάση την παράγραφο 2 του Άρθρου 3:</w:t>
      </w:r>
      <w:r>
        <w:rPr>
          <w:rFonts w:ascii="Verdana" w:hAnsi="Verdana"/>
          <w:color w:val="505252"/>
          <w:sz w:val="17"/>
          <w:szCs w:val="17"/>
        </w:rPr>
        <w:br/>
      </w:r>
      <w:r>
        <w:rPr>
          <w:rFonts w:ascii="Arial" w:hAnsi="Arial" w:cs="Arial"/>
          <w:color w:val="505252"/>
          <w:sz w:val="18"/>
          <w:szCs w:val="18"/>
        </w:rPr>
        <w:t xml:space="preserve">1) EN/ IEC 61851-1: Electric </w:t>
      </w:r>
      <w:proofErr w:type="spellStart"/>
      <w:r>
        <w:rPr>
          <w:rFonts w:ascii="Arial" w:hAnsi="Arial" w:cs="Arial"/>
          <w:color w:val="505252"/>
          <w:sz w:val="18"/>
          <w:szCs w:val="18"/>
        </w:rPr>
        <w:t>vehicle</w:t>
      </w:r>
      <w:proofErr w:type="spellEnd"/>
      <w:r>
        <w:rPr>
          <w:rFonts w:ascii="Arial" w:hAnsi="Arial" w:cs="Arial"/>
          <w:color w:val="505252"/>
          <w:sz w:val="18"/>
          <w:szCs w:val="18"/>
        </w:rPr>
        <w:t xml:space="preserve"> </w:t>
      </w:r>
      <w:proofErr w:type="spellStart"/>
      <w:r>
        <w:rPr>
          <w:rFonts w:ascii="Arial" w:hAnsi="Arial" w:cs="Arial"/>
          <w:color w:val="505252"/>
          <w:sz w:val="18"/>
          <w:szCs w:val="18"/>
        </w:rPr>
        <w:t>conductive</w:t>
      </w:r>
      <w:proofErr w:type="spellEnd"/>
      <w:r>
        <w:rPr>
          <w:rFonts w:ascii="Arial" w:hAnsi="Arial" w:cs="Arial"/>
          <w:color w:val="505252"/>
          <w:sz w:val="18"/>
          <w:szCs w:val="18"/>
        </w:rPr>
        <w:t xml:space="preserve"> </w:t>
      </w:r>
      <w:proofErr w:type="spellStart"/>
      <w:r>
        <w:rPr>
          <w:rFonts w:ascii="Arial" w:hAnsi="Arial" w:cs="Arial"/>
          <w:color w:val="505252"/>
          <w:sz w:val="18"/>
          <w:szCs w:val="18"/>
        </w:rPr>
        <w:t>charging</w:t>
      </w:r>
      <w:proofErr w:type="spellEnd"/>
      <w:r>
        <w:rPr>
          <w:rFonts w:ascii="Arial" w:hAnsi="Arial" w:cs="Arial"/>
          <w:color w:val="505252"/>
          <w:sz w:val="18"/>
          <w:szCs w:val="18"/>
        </w:rPr>
        <w:t xml:space="preserve"> </w:t>
      </w:r>
      <w:proofErr w:type="spellStart"/>
      <w:r>
        <w:rPr>
          <w:rFonts w:ascii="Arial" w:hAnsi="Arial" w:cs="Arial"/>
          <w:color w:val="505252"/>
          <w:sz w:val="18"/>
          <w:szCs w:val="18"/>
        </w:rPr>
        <w:t>system</w:t>
      </w:r>
      <w:proofErr w:type="spellEnd"/>
      <w:r>
        <w:rPr>
          <w:rFonts w:ascii="Arial" w:hAnsi="Arial" w:cs="Arial"/>
          <w:color w:val="505252"/>
          <w:sz w:val="18"/>
          <w:szCs w:val="18"/>
        </w:rPr>
        <w:t xml:space="preserve"> - </w:t>
      </w:r>
      <w:proofErr w:type="spellStart"/>
      <w:r>
        <w:rPr>
          <w:rFonts w:ascii="Arial" w:hAnsi="Arial" w:cs="Arial"/>
          <w:color w:val="505252"/>
          <w:sz w:val="18"/>
          <w:szCs w:val="18"/>
        </w:rPr>
        <w:t>Part</w:t>
      </w:r>
      <w:proofErr w:type="spellEnd"/>
      <w:r>
        <w:rPr>
          <w:rFonts w:ascii="Arial" w:hAnsi="Arial" w:cs="Arial"/>
          <w:color w:val="505252"/>
          <w:sz w:val="18"/>
          <w:szCs w:val="18"/>
        </w:rPr>
        <w:t xml:space="preserve"> 1: General </w:t>
      </w:r>
      <w:proofErr w:type="spellStart"/>
      <w:r>
        <w:rPr>
          <w:rFonts w:ascii="Arial" w:hAnsi="Arial" w:cs="Arial"/>
          <w:color w:val="505252"/>
          <w:sz w:val="18"/>
          <w:szCs w:val="18"/>
        </w:rPr>
        <w:t>requirements</w:t>
      </w:r>
      <w:proofErr w:type="spellEnd"/>
      <w:r>
        <w:rPr>
          <w:rFonts w:ascii="Arial" w:hAnsi="Arial" w:cs="Arial"/>
          <w:color w:val="505252"/>
          <w:sz w:val="18"/>
          <w:szCs w:val="18"/>
        </w:rPr>
        <w:t>.</w:t>
      </w:r>
      <w:r>
        <w:rPr>
          <w:rFonts w:ascii="Verdana" w:hAnsi="Verdana"/>
          <w:color w:val="505252"/>
          <w:sz w:val="17"/>
          <w:szCs w:val="17"/>
        </w:rPr>
        <w:br/>
      </w:r>
      <w:r w:rsidRPr="00276234">
        <w:rPr>
          <w:rFonts w:ascii="Arial" w:hAnsi="Arial" w:cs="Arial"/>
          <w:color w:val="505252"/>
          <w:sz w:val="18"/>
          <w:szCs w:val="18"/>
          <w:lang w:val="en-US"/>
        </w:rPr>
        <w:t>2) EN/IEC 62196-1: Plugs, socket-outlets, vehicle connectors and vehicle inlets -Conductive charging of electric vehicles - Part 1: General requirements.</w:t>
      </w:r>
      <w:r w:rsidRPr="00276234">
        <w:rPr>
          <w:rFonts w:ascii="Verdana" w:hAnsi="Verdana"/>
          <w:color w:val="505252"/>
          <w:sz w:val="17"/>
          <w:szCs w:val="17"/>
          <w:lang w:val="en-US"/>
        </w:rPr>
        <w:br/>
      </w:r>
      <w:r w:rsidRPr="00276234">
        <w:rPr>
          <w:rFonts w:ascii="Arial" w:hAnsi="Arial" w:cs="Arial"/>
          <w:color w:val="505252"/>
          <w:sz w:val="18"/>
          <w:szCs w:val="18"/>
          <w:lang w:val="en-US"/>
        </w:rPr>
        <w:t xml:space="preserve">3) EN/IEC 62196-2: Plugs, socket-outlets, vehicle connectors and vehicle inlets -Conductive charging of electric vehicles - Part 2: Dimensional compatibility and interchangeability requirements for </w:t>
      </w:r>
      <w:proofErr w:type="spellStart"/>
      <w:r w:rsidRPr="00276234">
        <w:rPr>
          <w:rFonts w:ascii="Arial" w:hAnsi="Arial" w:cs="Arial"/>
          <w:color w:val="505252"/>
          <w:sz w:val="18"/>
          <w:szCs w:val="18"/>
          <w:lang w:val="en-US"/>
        </w:rPr>
        <w:t>a.c</w:t>
      </w:r>
      <w:proofErr w:type="spellEnd"/>
      <w:r w:rsidRPr="00276234">
        <w:rPr>
          <w:rFonts w:ascii="Arial" w:hAnsi="Arial" w:cs="Arial"/>
          <w:color w:val="505252"/>
          <w:sz w:val="18"/>
          <w:szCs w:val="18"/>
          <w:lang w:val="en-US"/>
        </w:rPr>
        <w:t>. pin and contact-tube accessories.</w:t>
      </w:r>
      <w:r w:rsidRPr="00276234">
        <w:rPr>
          <w:rFonts w:ascii="Verdana" w:hAnsi="Verdana"/>
          <w:color w:val="505252"/>
          <w:sz w:val="17"/>
          <w:szCs w:val="17"/>
          <w:lang w:val="en-US"/>
        </w:rPr>
        <w:br/>
      </w:r>
      <w:r w:rsidRPr="00276234">
        <w:rPr>
          <w:rFonts w:ascii="Arial" w:hAnsi="Arial" w:cs="Arial"/>
          <w:color w:val="505252"/>
          <w:sz w:val="18"/>
          <w:szCs w:val="18"/>
          <w:lang w:val="en-US"/>
        </w:rPr>
        <w:t xml:space="preserve">4) EN/IEC 62196-3: Plugs, socket-outlets, vehicle connectors and vehicle inlets - Conductive charging of electric vehicles - Part 3: Dimensional compatibility and interchangeability requirements for </w:t>
      </w:r>
      <w:proofErr w:type="spellStart"/>
      <w:r w:rsidRPr="00276234">
        <w:rPr>
          <w:rFonts w:ascii="Arial" w:hAnsi="Arial" w:cs="Arial"/>
          <w:color w:val="505252"/>
          <w:sz w:val="18"/>
          <w:szCs w:val="18"/>
          <w:lang w:val="en-US"/>
        </w:rPr>
        <w:t>d.c.</w:t>
      </w:r>
      <w:proofErr w:type="spellEnd"/>
      <w:r w:rsidRPr="00276234">
        <w:rPr>
          <w:rFonts w:ascii="Arial" w:hAnsi="Arial" w:cs="Arial"/>
          <w:color w:val="505252"/>
          <w:sz w:val="18"/>
          <w:szCs w:val="18"/>
          <w:lang w:val="en-US"/>
        </w:rPr>
        <w:t xml:space="preserve"> and </w:t>
      </w:r>
      <w:proofErr w:type="spellStart"/>
      <w:r w:rsidRPr="00276234">
        <w:rPr>
          <w:rFonts w:ascii="Arial" w:hAnsi="Arial" w:cs="Arial"/>
          <w:color w:val="505252"/>
          <w:sz w:val="18"/>
          <w:szCs w:val="18"/>
          <w:lang w:val="en-US"/>
        </w:rPr>
        <w:t>a.c</w:t>
      </w:r>
      <w:proofErr w:type="spellEnd"/>
      <w:proofErr w:type="gramStart"/>
      <w:r w:rsidRPr="00276234">
        <w:rPr>
          <w:rFonts w:ascii="Arial" w:hAnsi="Arial" w:cs="Arial"/>
          <w:color w:val="505252"/>
          <w:sz w:val="18"/>
          <w:szCs w:val="18"/>
          <w:lang w:val="en-US"/>
        </w:rPr>
        <w:t>./</w:t>
      </w:r>
      <w:proofErr w:type="spellStart"/>
      <w:proofErr w:type="gramEnd"/>
      <w:r w:rsidRPr="00276234">
        <w:rPr>
          <w:rFonts w:ascii="Arial" w:hAnsi="Arial" w:cs="Arial"/>
          <w:color w:val="505252"/>
          <w:sz w:val="18"/>
          <w:szCs w:val="18"/>
          <w:lang w:val="en-US"/>
        </w:rPr>
        <w:t>d.c.</w:t>
      </w:r>
      <w:proofErr w:type="spellEnd"/>
      <w:r w:rsidRPr="00276234">
        <w:rPr>
          <w:rFonts w:ascii="Arial" w:hAnsi="Arial" w:cs="Arial"/>
          <w:color w:val="505252"/>
          <w:sz w:val="18"/>
          <w:szCs w:val="18"/>
          <w:lang w:val="en-US"/>
        </w:rPr>
        <w:t xml:space="preserve"> pin and contact-tube vehicle couplers.</w:t>
      </w:r>
      <w:r w:rsidRPr="00276234">
        <w:rPr>
          <w:rFonts w:ascii="Verdana" w:hAnsi="Verdana"/>
          <w:color w:val="505252"/>
          <w:sz w:val="17"/>
          <w:szCs w:val="17"/>
          <w:lang w:val="en-US"/>
        </w:rPr>
        <w:br/>
      </w:r>
      <w:r>
        <w:rPr>
          <w:rFonts w:ascii="Arial" w:hAnsi="Arial" w:cs="Arial"/>
          <w:color w:val="505252"/>
          <w:sz w:val="18"/>
          <w:szCs w:val="18"/>
        </w:rPr>
        <w:t xml:space="preserve">Με βάση την παράγραφο 3 του Άρθρου 3: Για τα δημοσίως </w:t>
      </w:r>
      <w:proofErr w:type="spellStart"/>
      <w:r>
        <w:rPr>
          <w:rFonts w:ascii="Arial" w:hAnsi="Arial" w:cs="Arial"/>
          <w:color w:val="505252"/>
          <w:sz w:val="18"/>
          <w:szCs w:val="18"/>
        </w:rPr>
        <w:t>προσβάσιμα</w:t>
      </w:r>
      <w:proofErr w:type="spellEnd"/>
      <w:r>
        <w:rPr>
          <w:rFonts w:ascii="Arial" w:hAnsi="Arial" w:cs="Arial"/>
          <w:color w:val="505252"/>
          <w:sz w:val="18"/>
          <w:szCs w:val="18"/>
        </w:rPr>
        <w:t xml:space="preserve"> σημεία επαναφόρτισης εναλλασσόμενου ρεύματος (</w:t>
      </w:r>
      <w:proofErr w:type="spellStart"/>
      <w:r>
        <w:rPr>
          <w:rFonts w:ascii="Arial" w:hAnsi="Arial" w:cs="Arial"/>
          <w:color w:val="505252"/>
          <w:sz w:val="18"/>
          <w:szCs w:val="18"/>
        </w:rPr>
        <w:t>a.c</w:t>
      </w:r>
      <w:proofErr w:type="spellEnd"/>
      <w:r>
        <w:rPr>
          <w:rFonts w:ascii="Arial" w:hAnsi="Arial" w:cs="Arial"/>
          <w:color w:val="505252"/>
          <w:sz w:val="18"/>
          <w:szCs w:val="18"/>
        </w:rPr>
        <w:t xml:space="preserve">.) για ηλεκτρικά οχήματα της κατηγορίας L ισχύος μέχρι 3,7 </w:t>
      </w:r>
      <w:proofErr w:type="spellStart"/>
      <w:r>
        <w:rPr>
          <w:rFonts w:ascii="Arial" w:hAnsi="Arial" w:cs="Arial"/>
          <w:color w:val="505252"/>
          <w:sz w:val="18"/>
          <w:szCs w:val="18"/>
        </w:rPr>
        <w:t>kVA</w:t>
      </w:r>
      <w:proofErr w:type="spellEnd"/>
      <w:r>
        <w:rPr>
          <w:rFonts w:ascii="Arial" w:hAnsi="Arial" w:cs="Arial"/>
          <w:color w:val="505252"/>
          <w:sz w:val="18"/>
          <w:szCs w:val="18"/>
        </w:rPr>
        <w:t>, εφαρμόζονται οι διατάξεις του Κανονισμού (ΕΕ) 2018/674 της 17ης Νοεμβρίου 2017 για τη συμπλήρωση της οδηγίας 2014/94/ΕΕ.</w:t>
      </w:r>
    </w:p>
    <w:p w:rsidR="00276234" w:rsidRDefault="00276234" w:rsidP="00276234">
      <w:pPr>
        <w:pStyle w:val="Web"/>
        <w:shd w:val="clear" w:color="auto" w:fill="EEEFFF"/>
        <w:rPr>
          <w:rFonts w:ascii="Verdana" w:hAnsi="Verdana"/>
          <w:color w:val="505252"/>
          <w:sz w:val="17"/>
          <w:szCs w:val="17"/>
        </w:rPr>
      </w:pPr>
      <w:r>
        <w:rPr>
          <w:rStyle w:val="a3"/>
          <w:rFonts w:ascii="Arial" w:hAnsi="Arial" w:cs="Arial"/>
          <w:color w:val="505252"/>
          <w:sz w:val="18"/>
          <w:szCs w:val="18"/>
        </w:rPr>
        <w:t>Δεν περιλαμβάνει ασύρματες ή επαγωγικές μονάδες φόρτισης</w:t>
      </w:r>
      <w:r>
        <w:rPr>
          <w:rFonts w:ascii="Arial" w:hAnsi="Arial" w:cs="Arial"/>
          <w:b/>
          <w:bCs/>
          <w:color w:val="505252"/>
          <w:sz w:val="18"/>
          <w:szCs w:val="18"/>
        </w:rPr>
        <w:br/>
      </w:r>
      <w:r>
        <w:rPr>
          <w:rFonts w:ascii="Arial" w:hAnsi="Arial" w:cs="Arial"/>
          <w:color w:val="505252"/>
          <w:sz w:val="18"/>
          <w:szCs w:val="18"/>
        </w:rPr>
        <w:t>Με βάση τις παραγράφους 1 και 2 του άρθρου 4.</w:t>
      </w:r>
    </w:p>
    <w:p w:rsidR="00276234" w:rsidRDefault="00276234" w:rsidP="00276234">
      <w:pPr>
        <w:pStyle w:val="Web"/>
        <w:shd w:val="clear" w:color="auto" w:fill="EEEFFF"/>
        <w:rPr>
          <w:rFonts w:ascii="Verdana" w:hAnsi="Verdana"/>
          <w:color w:val="505252"/>
          <w:sz w:val="17"/>
          <w:szCs w:val="17"/>
        </w:rPr>
      </w:pPr>
      <w:r>
        <w:rPr>
          <w:rStyle w:val="a3"/>
          <w:rFonts w:ascii="Arial" w:hAnsi="Arial" w:cs="Arial"/>
          <w:color w:val="505252"/>
          <w:sz w:val="18"/>
          <w:szCs w:val="18"/>
        </w:rPr>
        <w:t xml:space="preserve">Για την εγκατάσταση και την </w:t>
      </w:r>
      <w:proofErr w:type="spellStart"/>
      <w:r>
        <w:rPr>
          <w:rStyle w:val="a3"/>
          <w:rFonts w:ascii="Arial" w:hAnsi="Arial" w:cs="Arial"/>
          <w:color w:val="505252"/>
          <w:sz w:val="18"/>
          <w:szCs w:val="18"/>
        </w:rPr>
        <w:t>αδειοδότηση</w:t>
      </w:r>
      <w:proofErr w:type="spellEnd"/>
      <w:r>
        <w:rPr>
          <w:rStyle w:val="a3"/>
          <w:rFonts w:ascii="Arial" w:hAnsi="Arial" w:cs="Arial"/>
          <w:color w:val="505252"/>
          <w:sz w:val="18"/>
          <w:szCs w:val="18"/>
        </w:rPr>
        <w:t xml:space="preserve"> τους</w:t>
      </w:r>
      <w:r>
        <w:rPr>
          <w:rFonts w:ascii="Arial" w:hAnsi="Arial" w:cs="Arial"/>
          <w:b/>
          <w:bCs/>
          <w:color w:val="505252"/>
          <w:sz w:val="18"/>
          <w:szCs w:val="18"/>
        </w:rPr>
        <w:br/>
      </w:r>
      <w:r>
        <w:rPr>
          <w:rFonts w:ascii="Arial" w:hAnsi="Arial" w:cs="Arial"/>
          <w:color w:val="505252"/>
          <w:sz w:val="18"/>
          <w:szCs w:val="18"/>
        </w:rPr>
        <w:t> Όλες οι συσκευές φόρτισης θα πρέπει να διαθέτουν πιστοποίηση CE με βάση την παράγραφο 4 του άρθρου 4.</w:t>
      </w:r>
      <w:r>
        <w:rPr>
          <w:rFonts w:ascii="Verdana" w:hAnsi="Verdana"/>
          <w:color w:val="505252"/>
          <w:sz w:val="17"/>
          <w:szCs w:val="17"/>
        </w:rPr>
        <w:br/>
      </w:r>
      <w:r>
        <w:rPr>
          <w:rFonts w:ascii="Arial" w:hAnsi="Arial" w:cs="Arial"/>
          <w:color w:val="505252"/>
          <w:sz w:val="18"/>
          <w:szCs w:val="18"/>
        </w:rPr>
        <w:t>Με βάση επίσης την παράγραφο 4 του άρθρου 4: Πρέπει να τηρούνται οι απαιτήσεις του ισχύοντος προτύπου ΕΛΟΤ HD 384.</w:t>
      </w:r>
      <w:r>
        <w:rPr>
          <w:rFonts w:ascii="Verdana" w:hAnsi="Verdana"/>
          <w:color w:val="505252"/>
          <w:sz w:val="17"/>
          <w:szCs w:val="17"/>
        </w:rPr>
        <w:br/>
      </w:r>
      <w:r>
        <w:rPr>
          <w:rFonts w:ascii="Arial" w:hAnsi="Arial" w:cs="Arial"/>
          <w:color w:val="505252"/>
          <w:sz w:val="18"/>
          <w:szCs w:val="18"/>
        </w:rPr>
        <w:t xml:space="preserve">Σχετικά με τις προϋποθέσεις σύνδεσής τους με το δίκτυο διανομής ηλεκτρικής ενέργειας του Διαχειριστή του Ελληνικού Δικτύου Διανομής Ηλεκτρικής Ενέργειας (ΔΕΔΔΗΕ ΑΕ): Αυτές </w:t>
      </w:r>
      <w:proofErr w:type="spellStart"/>
      <w:r>
        <w:rPr>
          <w:rFonts w:ascii="Arial" w:hAnsi="Arial" w:cs="Arial"/>
          <w:color w:val="505252"/>
          <w:sz w:val="18"/>
          <w:szCs w:val="18"/>
        </w:rPr>
        <w:t>διέπονται</w:t>
      </w:r>
      <w:proofErr w:type="spellEnd"/>
      <w:r>
        <w:rPr>
          <w:rFonts w:ascii="Arial" w:hAnsi="Arial" w:cs="Arial"/>
          <w:color w:val="505252"/>
          <w:sz w:val="18"/>
          <w:szCs w:val="18"/>
        </w:rPr>
        <w:t xml:space="preserve"> από το εκάστοτε ισχύον θεσμικό πλαίσιο περί ηλεκτροδοτήσεων.</w:t>
      </w:r>
      <w:r>
        <w:rPr>
          <w:rFonts w:ascii="Verdana" w:hAnsi="Verdana"/>
          <w:color w:val="505252"/>
          <w:sz w:val="17"/>
          <w:szCs w:val="17"/>
        </w:rPr>
        <w:br/>
      </w:r>
      <w:r>
        <w:rPr>
          <w:rFonts w:ascii="Arial" w:hAnsi="Arial" w:cs="Arial"/>
          <w:color w:val="505252"/>
          <w:sz w:val="18"/>
          <w:szCs w:val="18"/>
        </w:rPr>
        <w:t xml:space="preserve">Με βάση το άρθρο 6, για την </w:t>
      </w:r>
      <w:proofErr w:type="spellStart"/>
      <w:r>
        <w:rPr>
          <w:rFonts w:ascii="Arial" w:hAnsi="Arial" w:cs="Arial"/>
          <w:color w:val="505252"/>
          <w:sz w:val="18"/>
          <w:szCs w:val="18"/>
        </w:rPr>
        <w:t>αδειοδότηση</w:t>
      </w:r>
      <w:proofErr w:type="spellEnd"/>
      <w:r>
        <w:rPr>
          <w:rFonts w:ascii="Arial" w:hAnsi="Arial" w:cs="Arial"/>
          <w:color w:val="505252"/>
          <w:sz w:val="18"/>
          <w:szCs w:val="18"/>
        </w:rPr>
        <w:t xml:space="preserve"> τους απαιτείται ΥΔΕ με βάση το γ) της παραγράφου 1 του άρθρου 6 για όλες τις περιπτώσεις (είτε εξ ολοκλήρου </w:t>
      </w:r>
    </w:p>
    <w:p w:rsidR="00276234" w:rsidRDefault="00276234" w:rsidP="00276234">
      <w:pPr>
        <w:pStyle w:val="Web"/>
        <w:shd w:val="clear" w:color="auto" w:fill="EEEFFF"/>
        <w:rPr>
          <w:rFonts w:ascii="Verdana" w:hAnsi="Verdana"/>
          <w:color w:val="505252"/>
          <w:sz w:val="17"/>
          <w:szCs w:val="17"/>
        </w:rPr>
      </w:pPr>
      <w:r>
        <w:rPr>
          <w:rFonts w:ascii="Arial" w:hAnsi="Arial" w:cs="Arial"/>
          <w:color w:val="505252"/>
          <w:sz w:val="18"/>
          <w:szCs w:val="18"/>
        </w:rPr>
        <w:t>Το ΦΕΚ </w:t>
      </w:r>
      <w:hyperlink r:id="rId6" w:tgtFrame="_blank" w:history="1">
        <w:r>
          <w:rPr>
            <w:rStyle w:val="-"/>
            <w:rFonts w:ascii="Arial" w:hAnsi="Arial" w:cs="Arial"/>
            <w:color w:val="0033CC"/>
            <w:sz w:val="18"/>
            <w:szCs w:val="18"/>
            <w:u w:val="none"/>
          </w:rPr>
          <w:t>είναι διαθέσιμο εδώ</w:t>
        </w:r>
      </w:hyperlink>
      <w:r>
        <w:rPr>
          <w:rFonts w:ascii="Arial" w:hAnsi="Arial" w:cs="Arial"/>
          <w:color w:val="505252"/>
          <w:sz w:val="18"/>
          <w:szCs w:val="18"/>
        </w:rPr>
        <w:t>, είναι διαθέσιμο στο Εθνικό Τυπογραφείο, αλλά και στο διαδίκτυο. </w:t>
      </w:r>
    </w:p>
    <w:p w:rsidR="00276234" w:rsidRDefault="00276234" w:rsidP="00276234">
      <w:pPr>
        <w:pStyle w:val="Web"/>
        <w:shd w:val="clear" w:color="auto" w:fill="EEEFFF"/>
        <w:rPr>
          <w:rFonts w:ascii="Verdana" w:hAnsi="Verdana"/>
          <w:color w:val="505252"/>
          <w:sz w:val="17"/>
          <w:szCs w:val="17"/>
        </w:rPr>
      </w:pPr>
      <w:r>
        <w:rPr>
          <w:rFonts w:ascii="Verdana" w:hAnsi="Verdana"/>
          <w:color w:val="505252"/>
          <w:sz w:val="17"/>
          <w:szCs w:val="17"/>
        </w:rPr>
        <w:t> </w:t>
      </w:r>
    </w:p>
    <w:p w:rsidR="00276234" w:rsidRDefault="00276234" w:rsidP="00276234">
      <w:pPr>
        <w:pStyle w:val="Web"/>
        <w:shd w:val="clear" w:color="auto" w:fill="EEEFFF"/>
        <w:rPr>
          <w:rFonts w:ascii="Verdana" w:hAnsi="Verdana"/>
          <w:color w:val="505252"/>
          <w:sz w:val="17"/>
          <w:szCs w:val="17"/>
        </w:rPr>
      </w:pPr>
      <w:r>
        <w:rPr>
          <w:rStyle w:val="a3"/>
          <w:rFonts w:ascii="Arial" w:hAnsi="Arial" w:cs="Arial"/>
          <w:color w:val="505252"/>
        </w:rPr>
        <w:t>ΦΕΚ με αριθ. 50 Β της 15.01.2015</w:t>
      </w:r>
    </w:p>
    <w:p w:rsidR="00276234" w:rsidRDefault="00276234" w:rsidP="00276234">
      <w:pPr>
        <w:pStyle w:val="Web"/>
        <w:shd w:val="clear" w:color="auto" w:fill="EEEFFF"/>
        <w:rPr>
          <w:rFonts w:ascii="Verdana" w:hAnsi="Verdana"/>
          <w:color w:val="505252"/>
          <w:sz w:val="17"/>
          <w:szCs w:val="17"/>
        </w:rPr>
      </w:pPr>
      <w:r>
        <w:rPr>
          <w:rStyle w:val="a3"/>
          <w:rFonts w:ascii="Verdana" w:hAnsi="Verdana"/>
          <w:color w:val="505252"/>
          <w:sz w:val="17"/>
          <w:szCs w:val="17"/>
        </w:rPr>
        <w:t xml:space="preserve">Καθορισμός των όρων, προϋποθέσεων και τεχνικών προδιαγραφών συσκευών φόρτισης συσσωρευτών ηλεκτροκίνητων οχημάτων, για την εγκατάσταση αυτών σε υφιστάμενα ή υπό </w:t>
      </w:r>
      <w:proofErr w:type="spellStart"/>
      <w:r>
        <w:rPr>
          <w:rStyle w:val="a3"/>
          <w:rFonts w:ascii="Verdana" w:hAnsi="Verdana"/>
          <w:color w:val="505252"/>
          <w:sz w:val="17"/>
          <w:szCs w:val="17"/>
        </w:rPr>
        <w:t>αδειοδότηση</w:t>
      </w:r>
      <w:proofErr w:type="spellEnd"/>
      <w:r>
        <w:rPr>
          <w:rStyle w:val="a3"/>
          <w:rFonts w:ascii="Verdana" w:hAnsi="Verdana"/>
          <w:color w:val="505252"/>
          <w:sz w:val="17"/>
          <w:szCs w:val="17"/>
        </w:rPr>
        <w:t xml:space="preserve"> «Πρατήρια παροχής Καυσίμων και Ενέργειας», σε υφιστάμενους ή υπό </w:t>
      </w:r>
      <w:proofErr w:type="spellStart"/>
      <w:r>
        <w:rPr>
          <w:rStyle w:val="a3"/>
          <w:rFonts w:ascii="Verdana" w:hAnsi="Verdana"/>
          <w:color w:val="505252"/>
          <w:sz w:val="17"/>
          <w:szCs w:val="17"/>
        </w:rPr>
        <w:t>αδειοδότηση</w:t>
      </w:r>
      <w:proofErr w:type="spellEnd"/>
      <w:r>
        <w:rPr>
          <w:rStyle w:val="a3"/>
          <w:rFonts w:ascii="Verdana" w:hAnsi="Verdana"/>
          <w:color w:val="505252"/>
          <w:sz w:val="17"/>
          <w:szCs w:val="17"/>
        </w:rPr>
        <w:t xml:space="preserve"> στεγασμένους και υπαίθριους σταθμούς αυτοκινήτων, σε υφιστάμενα ή υπό </w:t>
      </w:r>
      <w:proofErr w:type="spellStart"/>
      <w:r>
        <w:rPr>
          <w:rStyle w:val="a3"/>
          <w:rFonts w:ascii="Verdana" w:hAnsi="Verdana"/>
          <w:color w:val="505252"/>
          <w:sz w:val="17"/>
          <w:szCs w:val="17"/>
        </w:rPr>
        <w:t>αδειοδότηση</w:t>
      </w:r>
      <w:proofErr w:type="spellEnd"/>
      <w:r>
        <w:rPr>
          <w:rStyle w:val="a3"/>
          <w:rFonts w:ascii="Verdana" w:hAnsi="Verdana"/>
          <w:color w:val="505252"/>
          <w:sz w:val="17"/>
          <w:szCs w:val="17"/>
        </w:rPr>
        <w:t xml:space="preserve"> συνεργεία συντήρησης και επισκευής αυτοκινήτων, μοτοσικλετών και μοτοποδηλάτων και σε υφιστάμενα ή υπό </w:t>
      </w:r>
      <w:proofErr w:type="spellStart"/>
      <w:r>
        <w:rPr>
          <w:rStyle w:val="a3"/>
          <w:rFonts w:ascii="Verdana" w:hAnsi="Verdana"/>
          <w:color w:val="505252"/>
          <w:sz w:val="17"/>
          <w:szCs w:val="17"/>
        </w:rPr>
        <w:t>αδειοδότηση</w:t>
      </w:r>
      <w:proofErr w:type="spellEnd"/>
      <w:r>
        <w:rPr>
          <w:rStyle w:val="a3"/>
          <w:rFonts w:ascii="Verdana" w:hAnsi="Verdana"/>
          <w:color w:val="505252"/>
          <w:sz w:val="17"/>
          <w:szCs w:val="17"/>
        </w:rPr>
        <w:t xml:space="preserve"> δημόσια ή ιδιωτικά Κ.Τ.Ε.Ο.  </w:t>
      </w:r>
      <w:r>
        <w:rPr>
          <w:rFonts w:ascii="Verdana" w:hAnsi="Verdana"/>
          <w:color w:val="505252"/>
        </w:rPr>
        <w:t>Όπως διαπιστώνεται από το άρθρο 2, τα θέματα της ηλεκτρικής εγκατάστασης των σταθμών φόρτισης βασίζονται στο ΕΛΟΤ HD 384 και τα θέματα της ηλεκτροδότησης τους στην νομοθεσία της ΥΔΕ. </w:t>
      </w:r>
      <w:r>
        <w:rPr>
          <w:rFonts w:ascii="Verdana" w:hAnsi="Verdana"/>
          <w:color w:val="505252"/>
          <w:sz w:val="17"/>
          <w:szCs w:val="17"/>
        </w:rPr>
        <w:t>  </w:t>
      </w:r>
      <w:proofErr w:type="spellStart"/>
      <w:r>
        <w:rPr>
          <w:rFonts w:ascii="Verdana" w:hAnsi="Verdana"/>
          <w:color w:val="505252"/>
        </w:rPr>
        <w:t>ίκαιρα</w:t>
      </w:r>
      <w:proofErr w:type="spellEnd"/>
      <w:r>
        <w:rPr>
          <w:rFonts w:ascii="Verdana" w:hAnsi="Verdana"/>
          <w:color w:val="505252"/>
        </w:rPr>
        <w:t xml:space="preserve"> και στην χώρα μας. Ένα νέο ΦΕΚ με αριθ. 50 Β της 15.01.2015 με μια Κοινή Υπουργική Απόφαση έρχεται να καθορίσει τις βασικές απαιτήσεις για τα θέματα αυτά σε </w:t>
      </w:r>
      <w:proofErr w:type="spellStart"/>
      <w:r>
        <w:rPr>
          <w:rFonts w:ascii="Verdana" w:hAnsi="Verdana"/>
          <w:color w:val="505252"/>
        </w:rPr>
        <w:t>επ</w:t>
      </w:r>
      <w:proofErr w:type="spellEnd"/>
    </w:p>
    <w:p w:rsidR="00276234" w:rsidRDefault="00276234" w:rsidP="00276234">
      <w:pPr>
        <w:pStyle w:val="Web"/>
        <w:shd w:val="clear" w:color="auto" w:fill="EEEFFF"/>
        <w:rPr>
          <w:rFonts w:ascii="Verdana" w:hAnsi="Verdana"/>
          <w:color w:val="505252"/>
          <w:sz w:val="17"/>
          <w:szCs w:val="17"/>
        </w:rPr>
      </w:pPr>
      <w:r>
        <w:rPr>
          <w:rFonts w:ascii="Verdana" w:hAnsi="Verdana"/>
          <w:color w:val="505252"/>
        </w:rPr>
        <w:t>Το ΦΕΚ </w:t>
      </w:r>
      <w:hyperlink r:id="rId7" w:tgtFrame="_blank" w:history="1">
        <w:r>
          <w:rPr>
            <w:rStyle w:val="-"/>
            <w:rFonts w:ascii="Verdana" w:hAnsi="Verdana"/>
            <w:color w:val="0033CC"/>
            <w:u w:val="none"/>
          </w:rPr>
          <w:t>είναι διαθέσιμο εδώ</w:t>
        </w:r>
      </w:hyperlink>
      <w:r>
        <w:rPr>
          <w:rFonts w:ascii="Verdana" w:hAnsi="Verdana"/>
          <w:color w:val="505252"/>
        </w:rPr>
        <w:t>, είναι διαθέσιμο στο Εθνικό Τυπογραφείο, αλλά και στο διαδίκτυο.</w:t>
      </w:r>
      <w:r>
        <w:rPr>
          <w:rFonts w:ascii="Verdana" w:hAnsi="Verdana"/>
          <w:color w:val="505252"/>
          <w:sz w:val="17"/>
          <w:szCs w:val="17"/>
        </w:rPr>
        <w:t>     </w:t>
      </w:r>
    </w:p>
    <w:p w:rsidR="00276234" w:rsidRDefault="00276234"/>
    <w:sectPr w:rsidR="002762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34"/>
    <w:rsid w:val="00042E64"/>
    <w:rsid w:val="0009327C"/>
    <w:rsid w:val="00276234"/>
    <w:rsid w:val="00445CFA"/>
    <w:rsid w:val="00615CC9"/>
    <w:rsid w:val="00772FF6"/>
    <w:rsid w:val="00E529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A625A-8A88-4798-AFD5-79C40F2A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7623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76234"/>
    <w:rPr>
      <w:b/>
      <w:bCs/>
    </w:rPr>
  </w:style>
  <w:style w:type="character" w:styleId="-">
    <w:name w:val="Hyperlink"/>
    <w:basedOn w:val="a0"/>
    <w:uiPriority w:val="99"/>
    <w:semiHidden/>
    <w:unhideWhenUsed/>
    <w:rsid w:val="00276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rrisg.gr/n/userfiles/downloads/2015/FEK%2050B%202015%20stathmoi%20fortisi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rrisg.gr/n/userfiles/downloads/2019/FEK_2040B_04_06_2019_theseis_fortisis.pdf" TargetMode="External"/><Relationship Id="rId5" Type="http://schemas.openxmlformats.org/officeDocument/2006/relationships/hyperlink" Target="http://www.sarrisg.gr/n/userfiles/downloads/2020/FEK_142A_23072020_nomos4710_HLEKTROKINISH.pdf" TargetMode="External"/><Relationship Id="rId4" Type="http://schemas.openxmlformats.org/officeDocument/2006/relationships/hyperlink" Target="http://www.sarrisg.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6338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telis flamp</dc:creator>
  <cp:keywords/>
  <dc:description/>
  <cp:lastModifiedBy>telis flamp</cp:lastModifiedBy>
  <cp:revision>2</cp:revision>
  <dcterms:created xsi:type="dcterms:W3CDTF">2021-06-01T14:26:00Z</dcterms:created>
  <dcterms:modified xsi:type="dcterms:W3CDTF">2021-06-01T14:26:00Z</dcterms:modified>
</cp:coreProperties>
</file>