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E0" w:rsidRDefault="00A80E80">
      <w:r>
        <w:rPr>
          <w:rFonts w:ascii="inherit" w:eastAsia="Times New Roman" w:hAnsi="inherit" w:cs="Segoe UI Historic"/>
          <w:b/>
          <w:color w:val="1C1E21"/>
          <w:sz w:val="28"/>
          <w:szCs w:val="28"/>
          <w:lang w:eastAsia="el-GR"/>
        </w:rPr>
        <w:t xml:space="preserve"> 2 11 21 </w:t>
      </w:r>
      <w:bookmarkStart w:id="0" w:name="_GoBack"/>
      <w:bookmarkEnd w:id="0"/>
      <w:r w:rsidRPr="00C2714D">
        <w:rPr>
          <w:rFonts w:ascii="inherit" w:eastAsia="Times New Roman" w:hAnsi="inherit" w:cs="Segoe UI Historic"/>
          <w:b/>
          <w:color w:val="1C1E21"/>
          <w:sz w:val="28"/>
          <w:szCs w:val="28"/>
          <w:lang w:eastAsia="el-GR"/>
        </w:rPr>
        <w:t>Ελληνικό Πρότυπο ΕΛΟΤ 60364:2020</w:t>
      </w:r>
    </w:p>
    <w:p w:rsidR="00C2714D" w:rsidRPr="00C2714D" w:rsidRDefault="00C2714D" w:rsidP="00C2714D">
      <w:pPr>
        <w:shd w:val="clear" w:color="auto" w:fill="FFFFFF"/>
        <w:spacing w:after="75" w:line="240" w:lineRule="auto"/>
        <w:outlineLvl w:val="1"/>
        <w:rPr>
          <w:rFonts w:ascii="inherit" w:eastAsia="Times New Roman" w:hAnsi="inherit" w:cs="Segoe UI Historic"/>
          <w:b/>
          <w:bCs/>
          <w:color w:val="1C1E21"/>
          <w:sz w:val="28"/>
          <w:szCs w:val="28"/>
          <w:lang w:eastAsia="el-GR"/>
        </w:rPr>
      </w:pPr>
      <w:hyperlink r:id="rId5" w:history="1">
        <w:proofErr w:type="spellStart"/>
        <w:r w:rsidRPr="00C2714D">
          <w:rPr>
            <w:rFonts w:ascii="inherit" w:eastAsia="Times New Roman" w:hAnsi="inherit" w:cs="Segoe UI Historic"/>
            <w:b/>
            <w:bCs/>
            <w:color w:val="0000FF"/>
            <w:sz w:val="28"/>
            <w:szCs w:val="28"/>
            <w:u w:val="single"/>
            <w:bdr w:val="none" w:sz="0" w:space="0" w:color="auto" w:frame="1"/>
            <w:lang w:eastAsia="el-GR"/>
          </w:rPr>
          <w:t>Antonis</w:t>
        </w:r>
        <w:proofErr w:type="spellEnd"/>
        <w:r w:rsidRPr="00C2714D">
          <w:rPr>
            <w:rFonts w:ascii="inherit" w:eastAsia="Times New Roman" w:hAnsi="inherit" w:cs="Segoe UI Historic"/>
            <w:b/>
            <w:bCs/>
            <w:color w:val="0000FF"/>
            <w:sz w:val="28"/>
            <w:szCs w:val="28"/>
            <w:u w:val="single"/>
            <w:bdr w:val="none" w:sz="0" w:space="0" w:color="auto" w:frame="1"/>
            <w:lang w:eastAsia="el-GR"/>
          </w:rPr>
          <w:t xml:space="preserve"> </w:t>
        </w:r>
        <w:proofErr w:type="spellStart"/>
        <w:r w:rsidRPr="00C2714D">
          <w:rPr>
            <w:rFonts w:ascii="inherit" w:eastAsia="Times New Roman" w:hAnsi="inherit" w:cs="Segoe UI Historic"/>
            <w:b/>
            <w:bCs/>
            <w:color w:val="0000FF"/>
            <w:sz w:val="28"/>
            <w:szCs w:val="28"/>
            <w:u w:val="single"/>
            <w:bdr w:val="none" w:sz="0" w:space="0" w:color="auto" w:frame="1"/>
            <w:lang w:eastAsia="el-GR"/>
          </w:rPr>
          <w:t>Salevris</w:t>
        </w:r>
        <w:proofErr w:type="spellEnd"/>
      </w:hyperlink>
    </w:p>
    <w:p w:rsidR="00C2714D" w:rsidRPr="00C2714D" w:rsidRDefault="00C2714D" w:rsidP="00C2714D">
      <w:pPr>
        <w:shd w:val="clear" w:color="auto" w:fill="FFFFFF"/>
        <w:spacing w:line="240" w:lineRule="auto"/>
        <w:rPr>
          <w:rFonts w:ascii="inherit" w:eastAsia="Times New Roman" w:hAnsi="inherit" w:cs="Segoe UI Historic"/>
          <w:b/>
          <w:color w:val="1C1E21"/>
          <w:sz w:val="28"/>
          <w:szCs w:val="28"/>
          <w:lang w:eastAsia="el-GR"/>
        </w:rPr>
      </w:pPr>
      <w:hyperlink r:id="rId6" w:history="1">
        <w:r w:rsidRPr="00C2714D">
          <w:rPr>
            <w:rFonts w:ascii="inherit" w:eastAsia="Times New Roman" w:hAnsi="inherit" w:cs="Segoe UI Historic"/>
            <w:b/>
            <w:bCs/>
            <w:color w:val="0000FF"/>
            <w:sz w:val="28"/>
            <w:szCs w:val="28"/>
            <w:bdr w:val="none" w:sz="0" w:space="0" w:color="auto" w:frame="1"/>
            <w:lang w:eastAsia="el-GR"/>
          </w:rPr>
          <w:t>31 Οκτωβρίου στις 3:10 μ.μ.</w:t>
        </w:r>
      </w:hyperlink>
      <w:r w:rsidRPr="00C2714D">
        <w:rPr>
          <w:rFonts w:ascii="inherit" w:eastAsia="Times New Roman" w:hAnsi="inherit" w:cs="Segoe UI Historic"/>
          <w:b/>
          <w:color w:val="1C1E21"/>
          <w:sz w:val="28"/>
          <w:szCs w:val="28"/>
          <w:lang w:eastAsia="el-GR"/>
        </w:rPr>
        <w:t>  · </w:t>
      </w:r>
    </w:p>
    <w:p w:rsidR="00A80E80"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Επειδή στην πορεία θα προκύψει περί πολλού ο λόγος για το Νέο Ελληνικό Πρότυπο ΕΛΟΤ 60364:2020 1η Έκδοση </w:t>
      </w:r>
    </w:p>
    <w:p w:rsidR="00A80E80"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"Απαιτήσεις για ηλεκτρικές εγκαταστάσεις", το Πρότυπο αυτό εκπονήθηκε από την Τεχνική Επιτροπή ΕΛΟΤ/ΤΕ 82 «Ηλεκτρικές Εγκαταστάσεις Κτιρίων» και εγκρίθηκε ως Ελληνικό Πρότυπο την 2020-07-01.</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Νομοθετήθηκε δε ως το Νέο Πρότυπο (Υ.Α. 101195/2021) για τον σχεδιασμό, την κατασκευή, την τροποποίηση, την συντήρηση και τον έλεγχο των Εσωτερικών Ηλεκτρικών Εγκαταστάσεων (ΕΗΕ) που προκύπτουν από τις 8 Οκτωβρίου 2021 και μετά.</w:t>
      </w:r>
    </w:p>
    <w:p w:rsidR="00A80E80"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Η ΕΛΟΤ/ΤΕ 82, σύμφωνα με την απόφαση </w:t>
      </w:r>
      <w:proofErr w:type="spellStart"/>
      <w:r w:rsidRPr="00C2714D">
        <w:rPr>
          <w:rFonts w:ascii="inherit" w:eastAsia="Times New Roman" w:hAnsi="inherit" w:cs="Segoe UI Historic"/>
          <w:b/>
          <w:color w:val="1C1E21"/>
          <w:sz w:val="28"/>
          <w:szCs w:val="28"/>
          <w:lang w:eastAsia="el-GR"/>
        </w:rPr>
        <w:t>Δν.Σ</w:t>
      </w:r>
      <w:proofErr w:type="spellEnd"/>
      <w:r w:rsidRPr="00C2714D">
        <w:rPr>
          <w:rFonts w:ascii="inherit" w:eastAsia="Times New Roman" w:hAnsi="inherit" w:cs="Segoe UI Historic"/>
          <w:b/>
          <w:color w:val="1C1E21"/>
          <w:sz w:val="28"/>
          <w:szCs w:val="28"/>
          <w:lang w:eastAsia="el-GR"/>
        </w:rPr>
        <w:t>: 135/2015-06-08 (ΑΔΑ: 7ΥΞΚΟΞΜΓ-ΟΝΠ),</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συγκροτήθηκε από Μέλη των ακόλουθων Φορέων:</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Βιοτεχνικό Επιμελητήριο Αθηνών (ΒΕΑ), με τακτικό μέλος τον κ. </w:t>
      </w:r>
      <w:proofErr w:type="spellStart"/>
      <w:r w:rsidRPr="00C2714D">
        <w:rPr>
          <w:rFonts w:ascii="inherit" w:eastAsia="Times New Roman" w:hAnsi="inherit" w:cs="Segoe UI Historic"/>
          <w:b/>
          <w:color w:val="1C1E21"/>
          <w:sz w:val="28"/>
          <w:szCs w:val="28"/>
          <w:lang w:eastAsia="el-GR"/>
        </w:rPr>
        <w:t>Τζανίκο</w:t>
      </w:r>
      <w:proofErr w:type="spellEnd"/>
      <w:r w:rsidRPr="00C2714D">
        <w:rPr>
          <w:rFonts w:ascii="inherit" w:eastAsia="Times New Roman" w:hAnsi="inherit" w:cs="Segoe UI Historic"/>
          <w:b/>
          <w:color w:val="1C1E21"/>
          <w:sz w:val="28"/>
          <w:szCs w:val="28"/>
          <w:lang w:eastAsia="el-GR"/>
        </w:rPr>
        <w:t xml:space="preserve"> Σπύρο</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Διαχειριστής Ελληνικού Δικτύου Διανομής Ηλεκτρικής Ενέργειας Α.Ε. (ΔΕΔΔΗΕ), με τακτικό μέλος τον κ. </w:t>
      </w:r>
      <w:proofErr w:type="spellStart"/>
      <w:r w:rsidRPr="00C2714D">
        <w:rPr>
          <w:rFonts w:ascii="inherit" w:eastAsia="Times New Roman" w:hAnsi="inherit" w:cs="Segoe UI Historic"/>
          <w:b/>
          <w:color w:val="1C1E21"/>
          <w:sz w:val="28"/>
          <w:szCs w:val="28"/>
          <w:lang w:eastAsia="el-GR"/>
        </w:rPr>
        <w:t>Τσιαμίτα</w:t>
      </w:r>
      <w:proofErr w:type="spellEnd"/>
      <w:r w:rsidRPr="00C2714D">
        <w:rPr>
          <w:rFonts w:ascii="inherit" w:eastAsia="Times New Roman" w:hAnsi="inherit" w:cs="Segoe UI Historic"/>
          <w:b/>
          <w:color w:val="1C1E21"/>
          <w:sz w:val="28"/>
          <w:szCs w:val="28"/>
          <w:lang w:eastAsia="el-GR"/>
        </w:rPr>
        <w:t xml:space="preserve"> Νικόλα</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Εθνικό Μετσόβιο Πολυτεχνείο (ΕΜΠ), με τακτικό μέλος τον </w:t>
      </w:r>
      <w:proofErr w:type="spellStart"/>
      <w:r w:rsidRPr="00C2714D">
        <w:rPr>
          <w:rFonts w:ascii="inherit" w:eastAsia="Times New Roman" w:hAnsi="inherit" w:cs="Segoe UI Historic"/>
          <w:b/>
          <w:color w:val="1C1E21"/>
          <w:sz w:val="28"/>
          <w:szCs w:val="28"/>
          <w:lang w:eastAsia="el-GR"/>
        </w:rPr>
        <w:t>καθ</w:t>
      </w:r>
      <w:proofErr w:type="spellEnd"/>
      <w:r w:rsidRPr="00C2714D">
        <w:rPr>
          <w:rFonts w:ascii="inherit" w:eastAsia="Times New Roman" w:hAnsi="inherit" w:cs="Segoe UI Historic"/>
          <w:b/>
          <w:color w:val="1C1E21"/>
          <w:sz w:val="28"/>
          <w:szCs w:val="28"/>
          <w:lang w:eastAsia="el-GR"/>
        </w:rPr>
        <w:t xml:space="preserve">. Δρ. </w:t>
      </w:r>
      <w:proofErr w:type="spellStart"/>
      <w:r w:rsidRPr="00C2714D">
        <w:rPr>
          <w:rFonts w:ascii="inherit" w:eastAsia="Times New Roman" w:hAnsi="inherit" w:cs="Segoe UI Historic"/>
          <w:b/>
          <w:color w:val="1C1E21"/>
          <w:sz w:val="28"/>
          <w:szCs w:val="28"/>
          <w:lang w:eastAsia="el-GR"/>
        </w:rPr>
        <w:t>Γκόνο</w:t>
      </w:r>
      <w:proofErr w:type="spellEnd"/>
      <w:r w:rsidRPr="00C2714D">
        <w:rPr>
          <w:rFonts w:ascii="inherit" w:eastAsia="Times New Roman" w:hAnsi="inherit" w:cs="Segoe UI Historic"/>
          <w:b/>
          <w:color w:val="1C1E21"/>
          <w:sz w:val="28"/>
          <w:szCs w:val="28"/>
          <w:lang w:eastAsia="el-GR"/>
        </w:rPr>
        <w:t xml:space="preserve"> Ιωάννη</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Επιστημονική Ένωση Τεχνολογικής Εκπαίδευσης Μηχανικών (ΕΕΤΕΜ), με τακτικό μέλος τον κ. </w:t>
      </w:r>
      <w:proofErr w:type="spellStart"/>
      <w:r w:rsidRPr="00C2714D">
        <w:rPr>
          <w:rFonts w:ascii="inherit" w:eastAsia="Times New Roman" w:hAnsi="inherit" w:cs="Segoe UI Historic"/>
          <w:b/>
          <w:color w:val="1C1E21"/>
          <w:sz w:val="28"/>
          <w:szCs w:val="28"/>
          <w:lang w:eastAsia="el-GR"/>
        </w:rPr>
        <w:t>Σαλευρή</w:t>
      </w:r>
      <w:proofErr w:type="spellEnd"/>
      <w:r w:rsidRPr="00C2714D">
        <w:rPr>
          <w:rFonts w:ascii="inherit" w:eastAsia="Times New Roman" w:hAnsi="inherit" w:cs="Segoe UI Historic"/>
          <w:b/>
          <w:color w:val="1C1E21"/>
          <w:sz w:val="28"/>
          <w:szCs w:val="28"/>
          <w:lang w:eastAsia="el-GR"/>
        </w:rPr>
        <w:t xml:space="preserve"> Αντώνιο</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Πανελλήνια Ένωση Συνδέσμων Εργοληπτών Δημοσίων Έργων (ΠΕΣΕΔΕ) με τακτικό μέλος τον κ. </w:t>
      </w:r>
      <w:proofErr w:type="spellStart"/>
      <w:r w:rsidRPr="00C2714D">
        <w:rPr>
          <w:rFonts w:ascii="inherit" w:eastAsia="Times New Roman" w:hAnsi="inherit" w:cs="Segoe UI Historic"/>
          <w:b/>
          <w:color w:val="1C1E21"/>
          <w:sz w:val="28"/>
          <w:szCs w:val="28"/>
          <w:lang w:eastAsia="el-GR"/>
        </w:rPr>
        <w:t>Καπάζογλου</w:t>
      </w:r>
      <w:proofErr w:type="spellEnd"/>
      <w:r w:rsidRPr="00C2714D">
        <w:rPr>
          <w:rFonts w:ascii="inherit" w:eastAsia="Times New Roman" w:hAnsi="inherit" w:cs="Segoe UI Historic"/>
          <w:b/>
          <w:color w:val="1C1E21"/>
          <w:sz w:val="28"/>
          <w:szCs w:val="28"/>
          <w:lang w:eastAsia="el-GR"/>
        </w:rPr>
        <w:t xml:space="preserve"> Δημοσθένη</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Πανελλήνια Ομοσπονδία Σωματείων Εργοληπτών Ηλεκτρολόγων (ΠΟΣΕΗ), με τακτικό μέλος τον κ. Κωνσταντόπουλο Χαράλαμπο</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Πανεπιστήμιο Πατρών, με τακτικό μέλος την </w:t>
      </w:r>
      <w:proofErr w:type="spellStart"/>
      <w:r w:rsidRPr="00C2714D">
        <w:rPr>
          <w:rFonts w:ascii="inherit" w:eastAsia="Times New Roman" w:hAnsi="inherit" w:cs="Segoe UI Historic"/>
          <w:b/>
          <w:color w:val="1C1E21"/>
          <w:sz w:val="28"/>
          <w:szCs w:val="28"/>
          <w:lang w:eastAsia="el-GR"/>
        </w:rPr>
        <w:t>καθ</w:t>
      </w:r>
      <w:proofErr w:type="spellEnd"/>
      <w:r w:rsidRPr="00C2714D">
        <w:rPr>
          <w:rFonts w:ascii="inherit" w:eastAsia="Times New Roman" w:hAnsi="inherit" w:cs="Segoe UI Historic"/>
          <w:b/>
          <w:color w:val="1C1E21"/>
          <w:sz w:val="28"/>
          <w:szCs w:val="28"/>
          <w:lang w:eastAsia="el-GR"/>
        </w:rPr>
        <w:t>. Δρ. Πυργιώτη Ελευθερία</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Σύνδεσμος Επιχειρήσεων και Βιομηχανιών (ΣΕΒ), με τακτικό μέλος τον κ. Σαρρή Γεώργιο</w:t>
      </w:r>
    </w:p>
    <w:p w:rsidR="00C2714D" w:rsidRPr="00C2714D" w:rsidRDefault="00C2714D" w:rsidP="00C2714D">
      <w:pPr>
        <w:shd w:val="clear" w:color="auto" w:fill="FFFFFF"/>
        <w:spacing w:after="0"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Τεχνικό Επιμελητήριο Ελλάδας (ΤΕΕ), με τακτικό μέλος τον κ. </w:t>
      </w:r>
      <w:proofErr w:type="spellStart"/>
      <w:r w:rsidRPr="00C2714D">
        <w:rPr>
          <w:rFonts w:ascii="inherit" w:eastAsia="Times New Roman" w:hAnsi="inherit" w:cs="Segoe UI Historic"/>
          <w:b/>
          <w:color w:val="1C1E21"/>
          <w:sz w:val="28"/>
          <w:szCs w:val="28"/>
          <w:lang w:eastAsia="el-GR"/>
        </w:rPr>
        <w:t>Κοκκώνη</w:t>
      </w:r>
      <w:proofErr w:type="spellEnd"/>
      <w:r w:rsidRPr="00C2714D">
        <w:rPr>
          <w:rFonts w:ascii="inherit" w:eastAsia="Times New Roman" w:hAnsi="inherit" w:cs="Segoe UI Historic"/>
          <w:b/>
          <w:color w:val="1C1E21"/>
          <w:sz w:val="28"/>
          <w:szCs w:val="28"/>
          <w:lang w:eastAsia="el-GR"/>
        </w:rPr>
        <w:t xml:space="preserve"> Μάξιμο</w:t>
      </w:r>
    </w:p>
    <w:p w:rsidR="00C2714D" w:rsidRPr="00C2714D" w:rsidRDefault="00C2714D" w:rsidP="00C2714D">
      <w:pPr>
        <w:shd w:val="clear" w:color="auto" w:fill="FFFFFF"/>
        <w:spacing w:after="75" w:line="240" w:lineRule="auto"/>
        <w:rPr>
          <w:rFonts w:ascii="inherit" w:eastAsia="Times New Roman" w:hAnsi="inherit" w:cs="Segoe UI Historic"/>
          <w:b/>
          <w:color w:val="1C1E21"/>
          <w:sz w:val="28"/>
          <w:szCs w:val="28"/>
          <w:lang w:eastAsia="el-GR"/>
        </w:rPr>
      </w:pPr>
      <w:r w:rsidRPr="00C2714D">
        <w:rPr>
          <w:rFonts w:ascii="inherit" w:eastAsia="Times New Roman" w:hAnsi="inherit" w:cs="Segoe UI Historic"/>
          <w:b/>
          <w:color w:val="1C1E21"/>
          <w:sz w:val="28"/>
          <w:szCs w:val="28"/>
          <w:lang w:eastAsia="el-GR"/>
        </w:rPr>
        <w:t xml:space="preserve">• Υπουργείο Παραγωγικής Ανασυγκρότησης, Περιβάλλοντος και Ενέργειας (ΥΠΑΠΕΝ), Γενική Γραμματεία Βιομηχανίας, με τακτικό μέλος τον κ. </w:t>
      </w:r>
      <w:proofErr w:type="spellStart"/>
      <w:r w:rsidRPr="00C2714D">
        <w:rPr>
          <w:rFonts w:ascii="inherit" w:eastAsia="Times New Roman" w:hAnsi="inherit" w:cs="Segoe UI Historic"/>
          <w:b/>
          <w:color w:val="1C1E21"/>
          <w:sz w:val="28"/>
          <w:szCs w:val="28"/>
          <w:lang w:eastAsia="el-GR"/>
        </w:rPr>
        <w:t>Τσαμτσάκη</w:t>
      </w:r>
      <w:proofErr w:type="spellEnd"/>
      <w:r w:rsidRPr="00C2714D">
        <w:rPr>
          <w:rFonts w:ascii="inherit" w:eastAsia="Times New Roman" w:hAnsi="inherit" w:cs="Segoe UI Historic"/>
          <w:b/>
          <w:color w:val="1C1E21"/>
          <w:sz w:val="28"/>
          <w:szCs w:val="28"/>
          <w:lang w:eastAsia="el-GR"/>
        </w:rPr>
        <w:t xml:space="preserve"> Δημοσθένη</w:t>
      </w:r>
    </w:p>
    <w:p w:rsidR="00C2714D" w:rsidRDefault="00C2714D">
      <w:pPr>
        <w:rPr>
          <w:b/>
          <w:sz w:val="28"/>
          <w:szCs w:val="28"/>
        </w:rPr>
      </w:pPr>
      <w:r>
        <w:rPr>
          <w:noProof/>
          <w:lang w:eastAsia="el-GR"/>
        </w:rPr>
        <w:lastRenderedPageBreak/>
        <w:drawing>
          <wp:inline distT="0" distB="0" distL="0" distR="0" wp14:anchorId="0F976E90" wp14:editId="4FEE74C9">
            <wp:extent cx="5274310" cy="7119290"/>
            <wp:effectExtent l="0" t="0" r="2540" b="5715"/>
            <wp:docPr id="2" name="Εικόνα 2" descr="Μπορεί να είναι εικόνα κείμε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πορεί να είναι εικόνα κείμεν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119290"/>
                    </a:xfrm>
                    <a:prstGeom prst="rect">
                      <a:avLst/>
                    </a:prstGeom>
                    <a:noFill/>
                    <a:ln>
                      <a:noFill/>
                    </a:ln>
                  </pic:spPr>
                </pic:pic>
              </a:graphicData>
            </a:graphic>
          </wp:inline>
        </w:drawing>
      </w:r>
    </w:p>
    <w:p w:rsidR="00C2714D" w:rsidRDefault="004B061D">
      <w:pPr>
        <w:rPr>
          <w:b/>
          <w:sz w:val="28"/>
          <w:szCs w:val="28"/>
        </w:rPr>
      </w:pPr>
      <w:r>
        <w:rPr>
          <w:b/>
          <w:sz w:val="28"/>
          <w:szCs w:val="28"/>
        </w:rPr>
        <w:t xml:space="preserve">Υ.Α. </w:t>
      </w:r>
      <w:proofErr w:type="spellStart"/>
      <w:r>
        <w:rPr>
          <w:b/>
          <w:sz w:val="28"/>
          <w:szCs w:val="28"/>
        </w:rPr>
        <w:t>Αριθμ</w:t>
      </w:r>
      <w:proofErr w:type="spellEnd"/>
      <w:r>
        <w:rPr>
          <w:b/>
          <w:sz w:val="28"/>
          <w:szCs w:val="28"/>
        </w:rPr>
        <w:t xml:space="preserve">. 101195/2021-ΦΕΚ/Β/4654/08.10.2021 </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proofErr w:type="spellStart"/>
      <w:r w:rsidRPr="004B061D">
        <w:rPr>
          <w:rFonts w:ascii="Helvetica" w:eastAsia="Times New Roman" w:hAnsi="Helvetica" w:cs="Times New Roman"/>
          <w:b/>
          <w:bCs/>
          <w:color w:val="373A3C"/>
          <w:sz w:val="24"/>
          <w:szCs w:val="24"/>
          <w:lang w:eastAsia="el-GR"/>
        </w:rPr>
        <w:t>Αριθμ</w:t>
      </w:r>
      <w:proofErr w:type="spellEnd"/>
      <w:r w:rsidRPr="004B061D">
        <w:rPr>
          <w:rFonts w:ascii="Helvetica" w:eastAsia="Times New Roman" w:hAnsi="Helvetica" w:cs="Times New Roman"/>
          <w:b/>
          <w:bCs/>
          <w:color w:val="373A3C"/>
          <w:sz w:val="24"/>
          <w:szCs w:val="24"/>
          <w:lang w:eastAsia="el-GR"/>
        </w:rPr>
        <w:t>. 101195</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ΦΕΚ B’ 4654/08.10.2021</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Γενικές και ειδικές απαιτήσεις για τις ηλεκτρικές εγκαταστάσεις.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Ο ΥΠΟΥΡΓΟΣ ΑΝΑΠΤΥΞΗΣ ΚΑΙ ΕΠΕΝΔΥΣΕΩΝ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lastRenderedPageBreak/>
        <w:t>Έχοντας υπόψη:</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w:t>
      </w:r>
      <w:r w:rsidRPr="004B061D">
        <w:rPr>
          <w:rFonts w:ascii="Helvetica" w:eastAsia="Times New Roman" w:hAnsi="Helvetica" w:cs="Times New Roman"/>
          <w:color w:val="373A3C"/>
          <w:sz w:val="24"/>
          <w:szCs w:val="24"/>
          <w:lang w:eastAsia="el-GR"/>
        </w:rPr>
        <w:t> Τον </w:t>
      </w:r>
      <w:hyperlink r:id="rId8" w:tooltip="Ν. 4622/2019 (ΦΕΚ A’ 133/07.08.2019) Επιτελικό Κράτος: οργάνωση, λειτουργία και διαφάνεια της Κυβέρνησης, των κυβερνητικών οργάνων και της κεντρικής δημόσιας διοίκησης." w:history="1">
        <w:r w:rsidRPr="004B061D">
          <w:rPr>
            <w:rFonts w:ascii="Helvetica" w:eastAsia="Times New Roman" w:hAnsi="Helvetica" w:cs="Times New Roman"/>
            <w:color w:val="D72B39"/>
            <w:sz w:val="24"/>
            <w:szCs w:val="24"/>
            <w:lang w:eastAsia="el-GR"/>
          </w:rPr>
          <w:t>ν. 4622/2019</w:t>
        </w:r>
      </w:hyperlink>
      <w:r w:rsidRPr="004B061D">
        <w:rPr>
          <w:rFonts w:ascii="Helvetica" w:eastAsia="Times New Roman" w:hAnsi="Helvetica" w:cs="Times New Roman"/>
          <w:color w:val="373A3C"/>
          <w:sz w:val="24"/>
          <w:szCs w:val="24"/>
          <w:lang w:eastAsia="el-GR"/>
        </w:rPr>
        <w:t> «Επιτελικό Κράτος: οργάνωση, λειτουργία και διαφάνεια της Κυβέρνησης, των κυβερνητικών οργάνων και της κεντρικής δημόσιας διοίκησης» (Α’ 133).</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2.</w:t>
      </w:r>
      <w:r w:rsidRPr="004B061D">
        <w:rPr>
          <w:rFonts w:ascii="Helvetica" w:eastAsia="Times New Roman" w:hAnsi="Helvetica" w:cs="Times New Roman"/>
          <w:color w:val="373A3C"/>
          <w:sz w:val="24"/>
          <w:szCs w:val="24"/>
          <w:lang w:eastAsia="el-GR"/>
        </w:rPr>
        <w:t> Το </w:t>
      </w:r>
      <w:proofErr w:type="spellStart"/>
      <w:r w:rsidRPr="004B061D">
        <w:rPr>
          <w:rFonts w:ascii="Helvetica" w:eastAsia="Times New Roman" w:hAnsi="Helvetica" w:cs="Times New Roman"/>
          <w:color w:val="373A3C"/>
          <w:sz w:val="24"/>
          <w:szCs w:val="24"/>
          <w:lang w:eastAsia="el-GR"/>
        </w:rPr>
        <w:fldChar w:fldCharType="begin"/>
      </w:r>
      <w:r w:rsidRPr="004B061D">
        <w:rPr>
          <w:rFonts w:ascii="Helvetica" w:eastAsia="Times New Roman" w:hAnsi="Helvetica" w:cs="Times New Roman"/>
          <w:color w:val="373A3C"/>
          <w:sz w:val="24"/>
          <w:szCs w:val="24"/>
          <w:lang w:eastAsia="el-GR"/>
        </w:rPr>
        <w:instrText xml:space="preserve"> HYPERLINK "https://www.forin.gr/laws/law/3760/pd-81-2019" \o "</w:instrText>
      </w:r>
      <w:r w:rsidRPr="004B061D">
        <w:rPr>
          <w:rFonts w:ascii="Helvetica" w:eastAsia="Times New Roman" w:hAnsi="Helvetica" w:cs="Times New Roman" w:hint="eastAsia"/>
          <w:color w:val="373A3C"/>
          <w:sz w:val="24"/>
          <w:szCs w:val="24"/>
          <w:lang w:eastAsia="el-GR"/>
        </w:rPr>
        <w:instrText>Π</w:instrText>
      </w:r>
      <w:r w:rsidRPr="004B061D">
        <w:rPr>
          <w:rFonts w:ascii="Helvetica" w:eastAsia="Times New Roman" w:hAnsi="Helvetica" w:cs="Times New Roman"/>
          <w:color w:val="373A3C"/>
          <w:sz w:val="24"/>
          <w:szCs w:val="24"/>
          <w:lang w:eastAsia="el-GR"/>
        </w:rPr>
        <w:instrText>.</w:instrText>
      </w:r>
      <w:r w:rsidRPr="004B061D">
        <w:rPr>
          <w:rFonts w:ascii="Helvetica" w:eastAsia="Times New Roman" w:hAnsi="Helvetica" w:cs="Times New Roman" w:hint="eastAsia"/>
          <w:color w:val="373A3C"/>
          <w:sz w:val="24"/>
          <w:szCs w:val="24"/>
          <w:lang w:eastAsia="el-GR"/>
        </w:rPr>
        <w:instrText>Δ</w:instrText>
      </w:r>
      <w:r w:rsidRPr="004B061D">
        <w:rPr>
          <w:rFonts w:ascii="Helvetica" w:eastAsia="Times New Roman" w:hAnsi="Helvetica" w:cs="Times New Roman"/>
          <w:color w:val="373A3C"/>
          <w:sz w:val="24"/>
          <w:szCs w:val="24"/>
          <w:lang w:eastAsia="el-GR"/>
        </w:rPr>
        <w:instrText>. 81/2019 (</w:instrText>
      </w:r>
      <w:r w:rsidRPr="004B061D">
        <w:rPr>
          <w:rFonts w:ascii="Helvetica" w:eastAsia="Times New Roman" w:hAnsi="Helvetica" w:cs="Times New Roman" w:hint="eastAsia"/>
          <w:color w:val="373A3C"/>
          <w:sz w:val="24"/>
          <w:szCs w:val="24"/>
          <w:lang w:eastAsia="el-GR"/>
        </w:rPr>
        <w:instrText>ΦΕΚ</w:instrText>
      </w:r>
      <w:r w:rsidRPr="004B061D">
        <w:rPr>
          <w:rFonts w:ascii="Helvetica" w:eastAsia="Times New Roman" w:hAnsi="Helvetica" w:cs="Times New Roman"/>
          <w:color w:val="373A3C"/>
          <w:sz w:val="24"/>
          <w:szCs w:val="24"/>
          <w:lang w:eastAsia="el-GR"/>
        </w:rPr>
        <w:instrText xml:space="preserve"> A 119 - 08.07.2019) </w:instrText>
      </w:r>
      <w:r w:rsidRPr="004B061D">
        <w:rPr>
          <w:rFonts w:ascii="Helvetica" w:eastAsia="Times New Roman" w:hAnsi="Helvetica" w:cs="Times New Roman" w:hint="eastAsia"/>
          <w:color w:val="373A3C"/>
          <w:sz w:val="24"/>
          <w:szCs w:val="24"/>
          <w:lang w:eastAsia="el-GR"/>
        </w:rPr>
        <w:instrText>Σύσταση</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συγχώνευση</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μετονομασία</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και</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κατάργηση</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Υπουργείων</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και</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καθορισμός</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των</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αρμοδιοτήτων</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τους</w:instrText>
      </w:r>
      <w:r w:rsidRPr="004B061D">
        <w:rPr>
          <w:rFonts w:ascii="Helvetica" w:eastAsia="Times New Roman" w:hAnsi="Helvetica" w:cs="Times New Roman"/>
          <w:color w:val="373A3C"/>
          <w:sz w:val="24"/>
          <w:szCs w:val="24"/>
          <w:lang w:eastAsia="el-GR"/>
        </w:rPr>
        <w:instrText xml:space="preserve"> - </w:instrText>
      </w:r>
      <w:r w:rsidRPr="004B061D">
        <w:rPr>
          <w:rFonts w:ascii="Helvetica" w:eastAsia="Times New Roman" w:hAnsi="Helvetica" w:cs="Times New Roman" w:hint="eastAsia"/>
          <w:color w:val="373A3C"/>
          <w:sz w:val="24"/>
          <w:szCs w:val="24"/>
          <w:lang w:eastAsia="el-GR"/>
        </w:rPr>
        <w:instrText>Μεταφορά</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υπηρεσιών</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και</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αρμοδιοτήτων</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μεταξύ</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hint="eastAsia"/>
          <w:color w:val="373A3C"/>
          <w:sz w:val="24"/>
          <w:szCs w:val="24"/>
          <w:lang w:eastAsia="el-GR"/>
        </w:rPr>
        <w:instrText>Υπουργείων</w:instrText>
      </w:r>
      <w:r w:rsidRPr="004B061D">
        <w:rPr>
          <w:rFonts w:ascii="Helvetica" w:eastAsia="Times New Roman" w:hAnsi="Helvetica" w:cs="Times New Roman"/>
          <w:color w:val="373A3C"/>
          <w:sz w:val="24"/>
          <w:szCs w:val="24"/>
          <w:lang w:eastAsia="el-GR"/>
        </w:rPr>
        <w:instrText xml:space="preserve">." </w:instrText>
      </w:r>
      <w:r w:rsidRPr="004B061D">
        <w:rPr>
          <w:rFonts w:ascii="Helvetica" w:eastAsia="Times New Roman" w:hAnsi="Helvetica" w:cs="Times New Roman"/>
          <w:color w:val="373A3C"/>
          <w:sz w:val="24"/>
          <w:szCs w:val="24"/>
          <w:lang w:eastAsia="el-GR"/>
        </w:rPr>
        <w:fldChar w:fldCharType="separate"/>
      </w:r>
      <w:r w:rsidRPr="004B061D">
        <w:rPr>
          <w:rFonts w:ascii="Helvetica" w:eastAsia="Times New Roman" w:hAnsi="Helvetica" w:cs="Times New Roman"/>
          <w:color w:val="D72B39"/>
          <w:sz w:val="24"/>
          <w:szCs w:val="24"/>
          <w:lang w:eastAsia="el-GR"/>
        </w:rPr>
        <w:t>π.δ.</w:t>
      </w:r>
      <w:proofErr w:type="spellEnd"/>
      <w:r w:rsidRPr="004B061D">
        <w:rPr>
          <w:rFonts w:ascii="Helvetica" w:eastAsia="Times New Roman" w:hAnsi="Helvetica" w:cs="Times New Roman"/>
          <w:color w:val="D72B39"/>
          <w:sz w:val="24"/>
          <w:szCs w:val="24"/>
          <w:lang w:eastAsia="el-GR"/>
        </w:rPr>
        <w:t xml:space="preserve"> 81/2019</w:t>
      </w:r>
      <w:r w:rsidRPr="004B061D">
        <w:rPr>
          <w:rFonts w:ascii="Helvetica" w:eastAsia="Times New Roman" w:hAnsi="Helvetica" w:cs="Times New Roman"/>
          <w:color w:val="373A3C"/>
          <w:sz w:val="24"/>
          <w:szCs w:val="24"/>
          <w:lang w:eastAsia="el-GR"/>
        </w:rPr>
        <w:fldChar w:fldCharType="end"/>
      </w:r>
      <w:r w:rsidRPr="004B061D">
        <w:rPr>
          <w:rFonts w:ascii="Helvetica" w:eastAsia="Times New Roman" w:hAnsi="Helvetica" w:cs="Times New Roman"/>
          <w:color w:val="373A3C"/>
          <w:sz w:val="24"/>
          <w:szCs w:val="24"/>
          <w:lang w:eastAsia="el-GR"/>
        </w:rPr>
        <w:t> «Σύσταση, συγχώνευση, μετονομασία και κατάργηση Υπουργείων και καθορισμός αρμοδιοτήτων - Μεταφορά υπηρεσιών και αρμοδιοτήτων μεταξύ Υπουργείων» (Α’ 119).</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3.</w:t>
      </w:r>
      <w:r w:rsidRPr="004B061D">
        <w:rPr>
          <w:rFonts w:ascii="Helvetica" w:eastAsia="Times New Roman" w:hAnsi="Helvetica" w:cs="Times New Roman"/>
          <w:color w:val="373A3C"/>
          <w:sz w:val="24"/>
          <w:szCs w:val="24"/>
          <w:lang w:eastAsia="el-GR"/>
        </w:rPr>
        <w:t xml:space="preserve"> Το </w:t>
      </w:r>
      <w:proofErr w:type="spellStart"/>
      <w:r w:rsidRPr="004B061D">
        <w:rPr>
          <w:rFonts w:ascii="Helvetica" w:eastAsia="Times New Roman" w:hAnsi="Helvetica" w:cs="Times New Roman"/>
          <w:color w:val="373A3C"/>
          <w:sz w:val="24"/>
          <w:szCs w:val="24"/>
          <w:lang w:eastAsia="el-GR"/>
        </w:rPr>
        <w:t>π.δ.</w:t>
      </w:r>
      <w:proofErr w:type="spellEnd"/>
      <w:r w:rsidRPr="004B061D">
        <w:rPr>
          <w:rFonts w:ascii="Helvetica" w:eastAsia="Times New Roman" w:hAnsi="Helvetica" w:cs="Times New Roman"/>
          <w:color w:val="373A3C"/>
          <w:sz w:val="24"/>
          <w:szCs w:val="24"/>
          <w:lang w:eastAsia="el-GR"/>
        </w:rPr>
        <w:t xml:space="preserve"> 83/2019 «Διορισμός Αντιπροέδρου της Κυβέρνησης, Υπουργών, Αναπληρωτών Υπουργών και Υφυπουργών» (Α’ 121).</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4.</w:t>
      </w:r>
      <w:r w:rsidRPr="004B061D">
        <w:rPr>
          <w:rFonts w:ascii="Helvetica" w:eastAsia="Times New Roman" w:hAnsi="Helvetica" w:cs="Times New Roman"/>
          <w:color w:val="373A3C"/>
          <w:sz w:val="24"/>
          <w:szCs w:val="24"/>
          <w:lang w:eastAsia="el-GR"/>
        </w:rPr>
        <w:t> </w:t>
      </w:r>
      <w:proofErr w:type="spellStart"/>
      <w:r w:rsidRPr="004B061D">
        <w:rPr>
          <w:rFonts w:ascii="Helvetica" w:eastAsia="Times New Roman" w:hAnsi="Helvetica" w:cs="Times New Roman"/>
          <w:color w:val="373A3C"/>
          <w:sz w:val="24"/>
          <w:szCs w:val="24"/>
          <w:lang w:eastAsia="el-GR"/>
        </w:rPr>
        <w:t>Tο</w:t>
      </w:r>
      <w:proofErr w:type="spellEnd"/>
      <w:r w:rsidRPr="004B061D">
        <w:rPr>
          <w:rFonts w:ascii="Helvetica" w:eastAsia="Times New Roman" w:hAnsi="Helvetica" w:cs="Times New Roman"/>
          <w:color w:val="373A3C"/>
          <w:sz w:val="24"/>
          <w:szCs w:val="24"/>
          <w:lang w:eastAsia="el-GR"/>
        </w:rPr>
        <w:t xml:space="preserve"> </w:t>
      </w:r>
      <w:proofErr w:type="spellStart"/>
      <w:r w:rsidRPr="004B061D">
        <w:rPr>
          <w:rFonts w:ascii="Helvetica" w:eastAsia="Times New Roman" w:hAnsi="Helvetica" w:cs="Times New Roman"/>
          <w:color w:val="373A3C"/>
          <w:sz w:val="24"/>
          <w:szCs w:val="24"/>
          <w:lang w:eastAsia="el-GR"/>
        </w:rPr>
        <w:t>π.δ.</w:t>
      </w:r>
      <w:proofErr w:type="spellEnd"/>
      <w:r w:rsidRPr="004B061D">
        <w:rPr>
          <w:rFonts w:ascii="Helvetica" w:eastAsia="Times New Roman" w:hAnsi="Helvetica" w:cs="Times New Roman"/>
          <w:color w:val="373A3C"/>
          <w:sz w:val="24"/>
          <w:szCs w:val="24"/>
          <w:lang w:eastAsia="el-GR"/>
        </w:rPr>
        <w:t xml:space="preserve"> 147/2017 «Οργανισμός του Υπουργείου Οικονομίας και Ανάπτυξης» (Α’ 192).</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5.</w:t>
      </w:r>
      <w:r w:rsidRPr="004B061D">
        <w:rPr>
          <w:rFonts w:ascii="Helvetica" w:eastAsia="Times New Roman" w:hAnsi="Helvetica" w:cs="Times New Roman"/>
          <w:color w:val="373A3C"/>
          <w:sz w:val="24"/>
          <w:szCs w:val="24"/>
          <w:lang w:eastAsia="el-GR"/>
        </w:rPr>
        <w:t> Το </w:t>
      </w:r>
      <w:hyperlink r:id="rId9" w:anchor="!/?article=47&amp;bn=1" w:tooltip="Άρθρο 47 - Προστασία της τεχνογνωσίας και των επιχειρηματικών πληροφοριών που δεν έχουν αποκαλυφθεί (εμπορικό απόρρητο) (Ν. 4605/2019)" w:history="1">
        <w:r w:rsidRPr="004B061D">
          <w:rPr>
            <w:rFonts w:ascii="Helvetica" w:eastAsia="Times New Roman" w:hAnsi="Helvetica" w:cs="Times New Roman"/>
            <w:color w:val="D72B39"/>
            <w:sz w:val="24"/>
            <w:szCs w:val="24"/>
            <w:lang w:eastAsia="el-GR"/>
          </w:rPr>
          <w:t>άρθρο 47 του ν. 4605/2019</w:t>
        </w:r>
      </w:hyperlink>
      <w:r w:rsidRPr="004B061D">
        <w:rPr>
          <w:rFonts w:ascii="Helvetica" w:eastAsia="Times New Roman" w:hAnsi="Helvetica" w:cs="Times New Roman"/>
          <w:color w:val="373A3C"/>
          <w:sz w:val="24"/>
          <w:szCs w:val="24"/>
          <w:lang w:eastAsia="el-GR"/>
        </w:rPr>
        <w:t>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 - Μέτρα για την επιτάχυνση του έργου του Υπουργείου Οικονομίας και Ανάπτυξης και άλλες διατάξεις» (Α’ 52).</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6.</w:t>
      </w:r>
      <w:r w:rsidRPr="004B061D">
        <w:rPr>
          <w:rFonts w:ascii="Helvetica" w:eastAsia="Times New Roman" w:hAnsi="Helvetica" w:cs="Times New Roman"/>
          <w:color w:val="373A3C"/>
          <w:sz w:val="24"/>
          <w:szCs w:val="24"/>
          <w:lang w:eastAsia="el-GR"/>
        </w:rPr>
        <w:t> Το άρθρο 22 του ν. 1682/1987 «Μέσα και όργανα αναπτυξιακής πολιτικής και άλλες διατάξεις» (Α’ 14).</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7.</w:t>
      </w:r>
      <w:r w:rsidRPr="004B061D">
        <w:rPr>
          <w:rFonts w:ascii="Helvetica" w:eastAsia="Times New Roman" w:hAnsi="Helvetica" w:cs="Times New Roman"/>
          <w:color w:val="373A3C"/>
          <w:sz w:val="24"/>
          <w:szCs w:val="24"/>
          <w:lang w:eastAsia="el-GR"/>
        </w:rPr>
        <w:t> </w:t>
      </w:r>
      <w:proofErr w:type="spellStart"/>
      <w:r w:rsidRPr="004B061D">
        <w:rPr>
          <w:rFonts w:ascii="Helvetica" w:eastAsia="Times New Roman" w:hAnsi="Helvetica" w:cs="Times New Roman"/>
          <w:color w:val="373A3C"/>
          <w:sz w:val="24"/>
          <w:szCs w:val="24"/>
          <w:lang w:eastAsia="el-GR"/>
        </w:rPr>
        <w:t>Toν</w:t>
      </w:r>
      <w:proofErr w:type="spellEnd"/>
      <w:r w:rsidRPr="004B061D">
        <w:rPr>
          <w:rFonts w:ascii="Helvetica" w:eastAsia="Times New Roman" w:hAnsi="Helvetica" w:cs="Times New Roman"/>
          <w:color w:val="373A3C"/>
          <w:sz w:val="24"/>
          <w:szCs w:val="24"/>
          <w:lang w:eastAsia="el-GR"/>
        </w:rPr>
        <w:t xml:space="preserve"> ν. 4483/1965 «περί καταργήσεως του υποχρεωτικού Κρατικού Ελέγχου των εσωτερικών ηλεκτρικών εγκαταστάσεων και άλλων τινών διατάξεων» (Α’ 118).</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8.</w:t>
      </w:r>
      <w:r w:rsidRPr="004B061D">
        <w:rPr>
          <w:rFonts w:ascii="Helvetica" w:eastAsia="Times New Roman" w:hAnsi="Helvetica" w:cs="Times New Roman"/>
          <w:color w:val="373A3C"/>
          <w:sz w:val="24"/>
          <w:szCs w:val="24"/>
          <w:lang w:eastAsia="el-GR"/>
        </w:rPr>
        <w:t> Την υπ’ αρ. 41392/13189/3281/20.07.1976 απόφαση «περί επανελέγχου των εσωτερικών ηλεκτρικών εγκαταστάσεων» (Β’ 965).</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9.</w:t>
      </w:r>
      <w:r w:rsidRPr="004B061D">
        <w:rPr>
          <w:rFonts w:ascii="Helvetica" w:eastAsia="Times New Roman" w:hAnsi="Helvetica" w:cs="Times New Roman"/>
          <w:color w:val="373A3C"/>
          <w:sz w:val="24"/>
          <w:szCs w:val="24"/>
          <w:lang w:eastAsia="el-GR"/>
        </w:rPr>
        <w:t> Την υπό στοιχεία Φ.7.5/1816/88/27.02.2004 απόφαση «Αντικατάσταση του ισχύοντος Κανονισμού Εσωτερικών Ηλεκτρικών Εγκαταστάσεων (Κ.Ε.Η.Ε.) με το Πρότυπο ΕΛΟΤ HD 384 και άλλες σχετικές διατάξεις» (Β’ 470).</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10.</w:t>
      </w:r>
      <w:r w:rsidRPr="004B061D">
        <w:rPr>
          <w:rFonts w:ascii="Helvetica" w:eastAsia="Times New Roman" w:hAnsi="Helvetica" w:cs="Times New Roman"/>
          <w:color w:val="373A3C"/>
          <w:sz w:val="24"/>
          <w:szCs w:val="24"/>
          <w:lang w:eastAsia="el-GR"/>
        </w:rPr>
        <w:t> Την υπό στοιχεία Φ.50/503/168/19.04.2011 απόφαση «Τροποποίηση της υπ’ αρ. 115239/25702/3627 της 21 Δεκ. 1965/11 Ιαν. 1966 (Β’ 8) απόφασης του Υπουργού Βιομηχανίας “Περί ερμηνείας των διατάξεων του Νόμου 4483/65”» (Β’ 844).</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11.</w:t>
      </w:r>
      <w:r w:rsidRPr="004B061D">
        <w:rPr>
          <w:rFonts w:ascii="Helvetica" w:eastAsia="Times New Roman" w:hAnsi="Helvetica" w:cs="Times New Roman"/>
          <w:color w:val="373A3C"/>
          <w:sz w:val="24"/>
          <w:szCs w:val="24"/>
          <w:lang w:eastAsia="el-GR"/>
        </w:rPr>
        <w:t> Την υπό στοιχεία Φ.Α’50/12081/642/26.07.2006 (Β’ 1222) κοινή υπουργική απόφαση «Θέματα Ασφάλειας των Εσωτερικών Ηλεκτρικών Εγκαταστάσεων (Ε.Η.Ε.). Καθιέρωση υποχρέωσης εγκατάστασης διατάξεων διαφορικού ρεύματος και κατασκευής θεμελιακής γείωσης», όπως τροποποιήθηκε με την 130414/16.12.2019 κοινή υπουργική απόφαση «Εγκατάσταση Διατάξεων Διαφορικού Ρεύματος» (Β’ 4825).</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lastRenderedPageBreak/>
        <w:t>12.</w:t>
      </w:r>
      <w:r w:rsidRPr="004B061D">
        <w:rPr>
          <w:rFonts w:ascii="Helvetica" w:eastAsia="Times New Roman" w:hAnsi="Helvetica" w:cs="Times New Roman"/>
          <w:color w:val="373A3C"/>
          <w:sz w:val="24"/>
          <w:szCs w:val="24"/>
          <w:lang w:eastAsia="el-GR"/>
        </w:rPr>
        <w:t> Την ανάγκη βελτίωσης του θεσμικού πλαισίου σχετικά με τη μελέτη, την κατασκευή, την τροποποίηση, τη συντήρηση και τον έλεγχο των ηλεκτρικών εγκαταστάσεων.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13.</w:t>
      </w:r>
      <w:r w:rsidRPr="004B061D">
        <w:rPr>
          <w:rFonts w:ascii="Helvetica" w:eastAsia="Times New Roman" w:hAnsi="Helvetica" w:cs="Times New Roman"/>
          <w:color w:val="373A3C"/>
          <w:sz w:val="24"/>
          <w:szCs w:val="24"/>
          <w:lang w:eastAsia="el-GR"/>
        </w:rPr>
        <w:t xml:space="preserve"> Το γεγονός ότι το σχέδιο της παρούσας απόφασης γνωστοποιήθηκε (Α.Π. 51695/07.05.2021) στην Ευρωπαϊκή Επιτροπή με κωδικό γνωστοποίησης 2021/275/GR, σύμφωνα με το </w:t>
      </w:r>
      <w:proofErr w:type="spellStart"/>
      <w:r w:rsidRPr="004B061D">
        <w:rPr>
          <w:rFonts w:ascii="Helvetica" w:eastAsia="Times New Roman" w:hAnsi="Helvetica" w:cs="Times New Roman"/>
          <w:color w:val="373A3C"/>
          <w:sz w:val="24"/>
          <w:szCs w:val="24"/>
          <w:lang w:eastAsia="el-GR"/>
        </w:rPr>
        <w:t>π.δ.</w:t>
      </w:r>
      <w:proofErr w:type="spellEnd"/>
      <w:r w:rsidRPr="004B061D">
        <w:rPr>
          <w:rFonts w:ascii="Helvetica" w:eastAsia="Times New Roman" w:hAnsi="Helvetica" w:cs="Times New Roman"/>
          <w:color w:val="373A3C"/>
          <w:sz w:val="24"/>
          <w:szCs w:val="24"/>
          <w:lang w:eastAsia="el-GR"/>
        </w:rPr>
        <w:t xml:space="preserve"> 81/2018 (Α’ 151).</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14.</w:t>
      </w:r>
      <w:r w:rsidRPr="004B061D">
        <w:rPr>
          <w:rFonts w:ascii="Helvetica" w:eastAsia="Times New Roman" w:hAnsi="Helvetica" w:cs="Times New Roman"/>
          <w:color w:val="373A3C"/>
          <w:sz w:val="24"/>
          <w:szCs w:val="24"/>
          <w:lang w:eastAsia="el-GR"/>
        </w:rPr>
        <w:t> Το από 31/05/2021 έγγραφο (ΥΠΑΝΕΠ 61152/ 01.06.2021) της Επιτροπής για παροχή συμπληρωματικών πληροφοριών.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15.</w:t>
      </w:r>
      <w:r w:rsidRPr="004B061D">
        <w:rPr>
          <w:rFonts w:ascii="Helvetica" w:eastAsia="Times New Roman" w:hAnsi="Helvetica" w:cs="Times New Roman"/>
          <w:color w:val="373A3C"/>
          <w:sz w:val="24"/>
          <w:szCs w:val="24"/>
          <w:lang w:eastAsia="el-GR"/>
        </w:rPr>
        <w:t> Την από 02/06/2021 απάντηση (202101975.E L 2021/0275/G R 302) στην αίτηση της Επιτροπής για παροχή συμπληρωματικών πληροφοριών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16.</w:t>
      </w:r>
      <w:r w:rsidRPr="004B061D">
        <w:rPr>
          <w:rFonts w:ascii="Helvetica" w:eastAsia="Times New Roman" w:hAnsi="Helvetica" w:cs="Times New Roman"/>
          <w:color w:val="373A3C"/>
          <w:sz w:val="24"/>
          <w:szCs w:val="24"/>
          <w:lang w:eastAsia="el-GR"/>
        </w:rPr>
        <w:t> Τις από 04/08/2021 παρατηρήσεις της Επιτροπής (ΥΠΑΝΕΠ 89604/09.08.2021 και 90472/11.08.2021), σύμφωνα με τη παρ. 2 του άρθρου 5, της Οδηγίας ΕΕ/2015/1535.</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17.</w:t>
      </w:r>
      <w:r w:rsidRPr="004B061D">
        <w:rPr>
          <w:rFonts w:ascii="Helvetica" w:eastAsia="Times New Roman" w:hAnsi="Helvetica" w:cs="Times New Roman"/>
          <w:color w:val="373A3C"/>
          <w:sz w:val="24"/>
          <w:szCs w:val="24"/>
          <w:lang w:eastAsia="el-GR"/>
        </w:rPr>
        <w:t> Το γεγονός ότι από τις διατάξεις της παρούσας απόφασης δεν προκαλείται δαπάνη σε βάρος του κρατικού προϋπολογισμού,</w:t>
      </w:r>
      <w:r w:rsidRPr="004B061D">
        <w:rPr>
          <w:rFonts w:ascii="Helvetica" w:eastAsia="Times New Roman" w:hAnsi="Helvetica" w:cs="Times New Roman"/>
          <w:b/>
          <w:bCs/>
          <w:color w:val="373A3C"/>
          <w:sz w:val="24"/>
          <w:szCs w:val="24"/>
          <w:lang w:eastAsia="el-GR"/>
        </w:rPr>
        <w:t> αποφασίζουμε:</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Άρθρο 1</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Σκοπός - Πεδίο Εφαρμογής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1.</w:t>
      </w:r>
      <w:r w:rsidRPr="00A80E80">
        <w:rPr>
          <w:rFonts w:ascii="Helvetica" w:eastAsia="Times New Roman" w:hAnsi="Helvetica" w:cs="Times New Roman"/>
          <w:b/>
          <w:color w:val="373A3C"/>
          <w:sz w:val="24"/>
          <w:szCs w:val="24"/>
          <w:highlight w:val="yellow"/>
          <w:lang w:eastAsia="el-GR"/>
        </w:rPr>
        <w:t> Σκοπός της παρούσας απόφασης είναι η θέσπιση γενικών και ειδικών απαιτήσεων σχετικά με τη μελέτη, την κατασκευή, την τροποποίηση, τη συντήρηση και τον έλεγχο των ηλεκτρικών εγκαταστάσεων.</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color w:val="373A3C"/>
          <w:sz w:val="24"/>
          <w:szCs w:val="24"/>
          <w:highlight w:val="yellow"/>
          <w:lang w:eastAsia="el-GR"/>
        </w:rPr>
        <w:t>Στόχος της απόφασης είναι η διασφάλιση της ορθής λειτουργίας των ηλεκτρικών εγκαταστάσεων και της ασφάλειας ανθρώπων, ζώων και περιουσίας έναντι κινδύνων και βλαβών που ενδέχεται να προκύψουν κατά τη σκοπούμενη και εύλογα προβλέψιμη χρήση των εγκαταστάσεων αυτών.</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2.</w:t>
      </w:r>
      <w:r w:rsidRPr="00A80E80">
        <w:rPr>
          <w:rFonts w:ascii="Helvetica" w:eastAsia="Times New Roman" w:hAnsi="Helvetica" w:cs="Times New Roman"/>
          <w:b/>
          <w:color w:val="373A3C"/>
          <w:sz w:val="24"/>
          <w:szCs w:val="24"/>
          <w:highlight w:val="yellow"/>
          <w:lang w:eastAsia="el-GR"/>
        </w:rPr>
        <w:t> Η παρούσα απόφαση εφαρμόζεται στις ηλεκτρικές εγκαταστάσεις χαμηλής τάσης που λειτουργούν με εναλλασσόμενο ρεύμα (</w:t>
      </w:r>
      <w:proofErr w:type="spellStart"/>
      <w:r w:rsidRPr="00A80E80">
        <w:rPr>
          <w:rFonts w:ascii="Helvetica" w:eastAsia="Times New Roman" w:hAnsi="Helvetica" w:cs="Times New Roman"/>
          <w:b/>
          <w:color w:val="373A3C"/>
          <w:sz w:val="24"/>
          <w:szCs w:val="24"/>
          <w:highlight w:val="yellow"/>
          <w:lang w:eastAsia="el-GR"/>
        </w:rPr>
        <w:t>a.c</w:t>
      </w:r>
      <w:proofErr w:type="spellEnd"/>
      <w:r w:rsidRPr="00A80E80">
        <w:rPr>
          <w:rFonts w:ascii="Helvetica" w:eastAsia="Times New Roman" w:hAnsi="Helvetica" w:cs="Times New Roman"/>
          <w:b/>
          <w:color w:val="373A3C"/>
          <w:sz w:val="24"/>
          <w:szCs w:val="24"/>
          <w:highlight w:val="yellow"/>
          <w:lang w:eastAsia="el-GR"/>
        </w:rPr>
        <w:t>.) ονομαστικής τάσης μέχρι και 1.000 V ή με συνεχές ρεύμα (</w:t>
      </w:r>
      <w:proofErr w:type="spellStart"/>
      <w:r w:rsidRPr="00A80E80">
        <w:rPr>
          <w:rFonts w:ascii="Helvetica" w:eastAsia="Times New Roman" w:hAnsi="Helvetica" w:cs="Times New Roman"/>
          <w:b/>
          <w:color w:val="373A3C"/>
          <w:sz w:val="24"/>
          <w:szCs w:val="24"/>
          <w:highlight w:val="yellow"/>
          <w:lang w:eastAsia="el-GR"/>
        </w:rPr>
        <w:t>d.c</w:t>
      </w:r>
      <w:proofErr w:type="spellEnd"/>
      <w:r w:rsidRPr="00A80E80">
        <w:rPr>
          <w:rFonts w:ascii="Helvetica" w:eastAsia="Times New Roman" w:hAnsi="Helvetica" w:cs="Times New Roman"/>
          <w:b/>
          <w:color w:val="373A3C"/>
          <w:sz w:val="24"/>
          <w:szCs w:val="24"/>
          <w:highlight w:val="yellow"/>
          <w:lang w:eastAsia="el-GR"/>
        </w:rPr>
        <w:t>.) ονομαστικής τάσης μέχρι και 1.500 V και οι οποίες αφορούν στις παρακάτω γενικές περιπτώσεις: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α)</w:t>
      </w:r>
      <w:r w:rsidRPr="00A80E80">
        <w:rPr>
          <w:rFonts w:ascii="Helvetica" w:eastAsia="Times New Roman" w:hAnsi="Helvetica" w:cs="Times New Roman"/>
          <w:b/>
          <w:color w:val="373A3C"/>
          <w:sz w:val="24"/>
          <w:szCs w:val="24"/>
          <w:highlight w:val="yellow"/>
          <w:lang w:eastAsia="el-GR"/>
        </w:rPr>
        <w:t> κατοικίες και συναφείς χώροι</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β)</w:t>
      </w:r>
      <w:r w:rsidRPr="00A80E80">
        <w:rPr>
          <w:rFonts w:ascii="Helvetica" w:eastAsia="Times New Roman" w:hAnsi="Helvetica" w:cs="Times New Roman"/>
          <w:b/>
          <w:color w:val="373A3C"/>
          <w:sz w:val="24"/>
          <w:szCs w:val="24"/>
          <w:highlight w:val="yellow"/>
          <w:lang w:eastAsia="el-GR"/>
        </w:rPr>
        <w:t> κτίρια εμπορικής, επαγγελματικής χρήσης και συναφείς χώροι</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γ)</w:t>
      </w:r>
      <w:r w:rsidRPr="00A80E80">
        <w:rPr>
          <w:rFonts w:ascii="Helvetica" w:eastAsia="Times New Roman" w:hAnsi="Helvetica" w:cs="Times New Roman"/>
          <w:b/>
          <w:color w:val="373A3C"/>
          <w:sz w:val="24"/>
          <w:szCs w:val="24"/>
          <w:highlight w:val="yellow"/>
          <w:lang w:eastAsia="el-GR"/>
        </w:rPr>
        <w:t> κτίρια όπου στεγάζονται Δημόσιες Υπηρεσίες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lastRenderedPageBreak/>
        <w:t>δ)</w:t>
      </w:r>
      <w:r w:rsidRPr="00A80E80">
        <w:rPr>
          <w:rFonts w:ascii="Helvetica" w:eastAsia="Times New Roman" w:hAnsi="Helvetica" w:cs="Times New Roman"/>
          <w:b/>
          <w:color w:val="373A3C"/>
          <w:sz w:val="24"/>
          <w:szCs w:val="24"/>
          <w:highlight w:val="yellow"/>
          <w:lang w:eastAsia="el-GR"/>
        </w:rPr>
        <w:t> κτίρια συνάθροισης κοινού περιλαμβανομένων χώρων εκπαίδευσης, υγείας και κοινωνικής πρόνοιας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ε)</w:t>
      </w:r>
      <w:r w:rsidRPr="00A80E80">
        <w:rPr>
          <w:rFonts w:ascii="Helvetica" w:eastAsia="Times New Roman" w:hAnsi="Helvetica" w:cs="Times New Roman"/>
          <w:b/>
          <w:color w:val="373A3C"/>
          <w:sz w:val="24"/>
          <w:szCs w:val="24"/>
          <w:highlight w:val="yellow"/>
          <w:lang w:eastAsia="el-GR"/>
        </w:rPr>
        <w:t> κτίρια και λοιπές κατασκευές βιομηχανικής ή βιοτεχνικής χρήσης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proofErr w:type="spellStart"/>
      <w:r w:rsidRPr="00A80E80">
        <w:rPr>
          <w:rFonts w:ascii="Helvetica" w:eastAsia="Times New Roman" w:hAnsi="Helvetica" w:cs="Times New Roman"/>
          <w:b/>
          <w:bCs/>
          <w:color w:val="373A3C"/>
          <w:sz w:val="24"/>
          <w:szCs w:val="24"/>
          <w:highlight w:val="yellow"/>
          <w:lang w:eastAsia="el-GR"/>
        </w:rPr>
        <w:t>στ</w:t>
      </w:r>
      <w:proofErr w:type="spellEnd"/>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b/>
          <w:color w:val="373A3C"/>
          <w:sz w:val="24"/>
          <w:szCs w:val="24"/>
          <w:highlight w:val="yellow"/>
          <w:lang w:eastAsia="el-GR"/>
        </w:rPr>
        <w:t> αγροτικές, γεωργικές, κτηνοτροφικές και φυτοκομικές εγκαταστάσεις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ζ)</w:t>
      </w:r>
      <w:r w:rsidRPr="00A80E80">
        <w:rPr>
          <w:rFonts w:ascii="Helvetica" w:eastAsia="Times New Roman" w:hAnsi="Helvetica" w:cs="Times New Roman"/>
          <w:b/>
          <w:color w:val="373A3C"/>
          <w:sz w:val="24"/>
          <w:szCs w:val="24"/>
          <w:highlight w:val="yellow"/>
          <w:lang w:eastAsia="el-GR"/>
        </w:rPr>
        <w:t> εγκαταστάσεις φόρτισης ηλεκτρικών οχημάτων</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η)</w:t>
      </w:r>
      <w:r w:rsidRPr="00A80E80">
        <w:rPr>
          <w:rFonts w:ascii="Helvetica" w:eastAsia="Times New Roman" w:hAnsi="Helvetica" w:cs="Times New Roman"/>
          <w:b/>
          <w:color w:val="373A3C"/>
          <w:sz w:val="24"/>
          <w:szCs w:val="24"/>
          <w:highlight w:val="yellow"/>
          <w:lang w:eastAsia="el-GR"/>
        </w:rPr>
        <w:t> χώροι οργανωμένης κατασκήνωσης και συναφείς χώροι</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θ)</w:t>
      </w:r>
      <w:r w:rsidRPr="00A80E80">
        <w:rPr>
          <w:rFonts w:ascii="Helvetica" w:eastAsia="Times New Roman" w:hAnsi="Helvetica" w:cs="Times New Roman"/>
          <w:b/>
          <w:color w:val="373A3C"/>
          <w:sz w:val="24"/>
          <w:szCs w:val="24"/>
          <w:highlight w:val="yellow"/>
          <w:lang w:eastAsia="el-GR"/>
        </w:rPr>
        <w:t> εργοτάξια και προσωρινές εγκαταστάσεις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ι)</w:t>
      </w:r>
      <w:r w:rsidRPr="00A80E80">
        <w:rPr>
          <w:rFonts w:ascii="Helvetica" w:eastAsia="Times New Roman" w:hAnsi="Helvetica" w:cs="Times New Roman"/>
          <w:b/>
          <w:color w:val="373A3C"/>
          <w:sz w:val="24"/>
          <w:szCs w:val="24"/>
          <w:highlight w:val="yellow"/>
          <w:lang w:eastAsia="el-GR"/>
        </w:rPr>
        <w:t> λιμενικές εγκαταστάσεις εξυπηρέτησης σκαφών αναψυχής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lang w:eastAsia="el-GR"/>
        </w:rPr>
      </w:pPr>
      <w:proofErr w:type="spellStart"/>
      <w:r w:rsidRPr="00A80E80">
        <w:rPr>
          <w:rFonts w:ascii="Helvetica" w:eastAsia="Times New Roman" w:hAnsi="Helvetica" w:cs="Times New Roman"/>
          <w:b/>
          <w:bCs/>
          <w:color w:val="373A3C"/>
          <w:sz w:val="24"/>
          <w:szCs w:val="24"/>
          <w:highlight w:val="yellow"/>
          <w:lang w:eastAsia="el-GR"/>
        </w:rPr>
        <w:t>ια</w:t>
      </w:r>
      <w:proofErr w:type="spellEnd"/>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b/>
          <w:color w:val="373A3C"/>
          <w:sz w:val="24"/>
          <w:szCs w:val="24"/>
          <w:highlight w:val="yellow"/>
          <w:lang w:eastAsia="el-GR"/>
        </w:rPr>
        <w:t xml:space="preserve"> συστήματα </w:t>
      </w:r>
      <w:proofErr w:type="spellStart"/>
      <w:r w:rsidRPr="00A80E80">
        <w:rPr>
          <w:rFonts w:ascii="Helvetica" w:eastAsia="Times New Roman" w:hAnsi="Helvetica" w:cs="Times New Roman"/>
          <w:b/>
          <w:color w:val="373A3C"/>
          <w:sz w:val="24"/>
          <w:szCs w:val="24"/>
          <w:highlight w:val="yellow"/>
          <w:lang w:eastAsia="el-GR"/>
        </w:rPr>
        <w:t>αυτοπαραγωγής</w:t>
      </w:r>
      <w:proofErr w:type="spellEnd"/>
      <w:r w:rsidRPr="00A80E80">
        <w:rPr>
          <w:rFonts w:ascii="Helvetica" w:eastAsia="Times New Roman" w:hAnsi="Helvetica" w:cs="Times New Roman"/>
          <w:b/>
          <w:color w:val="373A3C"/>
          <w:sz w:val="24"/>
          <w:szCs w:val="24"/>
          <w:highlight w:val="yellow"/>
          <w:lang w:eastAsia="el-GR"/>
        </w:rPr>
        <w:t xml:space="preserve"> ηλεκτρικής ενέργειας.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3.</w:t>
      </w:r>
      <w:r w:rsidRPr="004B061D">
        <w:rPr>
          <w:rFonts w:ascii="Helvetica" w:eastAsia="Times New Roman" w:hAnsi="Helvetica" w:cs="Times New Roman"/>
          <w:color w:val="373A3C"/>
          <w:sz w:val="24"/>
          <w:szCs w:val="24"/>
          <w:lang w:eastAsia="el-GR"/>
        </w:rPr>
        <w:t xml:space="preserve"> Η παρούσα απόφαση δεν αντιτίθεται, ούτε θίγει διατάξεις της </w:t>
      </w:r>
      <w:proofErr w:type="spellStart"/>
      <w:r w:rsidRPr="004B061D">
        <w:rPr>
          <w:rFonts w:ascii="Helvetica" w:eastAsia="Times New Roman" w:hAnsi="Helvetica" w:cs="Times New Roman"/>
          <w:color w:val="373A3C"/>
          <w:sz w:val="24"/>
          <w:szCs w:val="24"/>
          <w:lang w:eastAsia="el-GR"/>
        </w:rPr>
        <w:t>ενωσιακής</w:t>
      </w:r>
      <w:proofErr w:type="spellEnd"/>
      <w:r w:rsidRPr="004B061D">
        <w:rPr>
          <w:rFonts w:ascii="Helvetica" w:eastAsia="Times New Roman" w:hAnsi="Helvetica" w:cs="Times New Roman"/>
          <w:color w:val="373A3C"/>
          <w:sz w:val="24"/>
          <w:szCs w:val="24"/>
          <w:lang w:eastAsia="el-GR"/>
        </w:rPr>
        <w:t xml:space="preserve"> νομοθεσίας που αφορούν στην ελεύθερη κυκλοφορία προϊόντων στην εσωτερική αγορά.</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Άρθρο 2</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Ορισμοί</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t>Για τους σκοπούς της παρούσας απόφασης χρησιμοποιούνται οι παρακάτω ορισμοί:</w:t>
      </w:r>
    </w:p>
    <w:p w:rsidR="00A80E80" w:rsidRDefault="004B061D" w:rsidP="004B061D">
      <w:pPr>
        <w:shd w:val="clear" w:color="auto" w:fill="FFFFFF"/>
        <w:spacing w:after="100" w:afterAutospacing="1" w:line="240" w:lineRule="auto"/>
        <w:rPr>
          <w:rFonts w:eastAsia="Times New Roman" w:cs="Times New Roman"/>
          <w:color w:val="373A3C"/>
          <w:sz w:val="24"/>
          <w:szCs w:val="24"/>
          <w:lang w:eastAsia="el-GR"/>
        </w:rPr>
      </w:pPr>
      <w:r w:rsidRPr="004B061D">
        <w:rPr>
          <w:rFonts w:ascii="Helvetica" w:eastAsia="Times New Roman" w:hAnsi="Helvetica" w:cs="Times New Roman"/>
          <w:color w:val="373A3C"/>
          <w:sz w:val="24"/>
          <w:szCs w:val="24"/>
          <w:lang w:eastAsia="el-GR"/>
        </w:rPr>
        <w:t>Ηλεκτρική Εγκατάσταση:</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t xml:space="preserve"> σύνολο ηλεκτρολογικών υλικών που έχουν κατάλληλα επιλεγμένα χαρακτηριστικά τα οποία διασυνδέονται μεταξύ τους ώστε να επιτελούν συγκεκριμένο σκοπό.</w:t>
      </w:r>
    </w:p>
    <w:p w:rsidR="00A80E80" w:rsidRDefault="004B061D" w:rsidP="004B061D">
      <w:pPr>
        <w:shd w:val="clear" w:color="auto" w:fill="FFFFFF"/>
        <w:spacing w:after="100" w:afterAutospacing="1" w:line="240" w:lineRule="auto"/>
        <w:rPr>
          <w:rFonts w:eastAsia="Times New Roman" w:cs="Times New Roman"/>
          <w:color w:val="373A3C"/>
          <w:sz w:val="24"/>
          <w:szCs w:val="24"/>
          <w:lang w:eastAsia="el-GR"/>
        </w:rPr>
      </w:pPr>
      <w:r w:rsidRPr="004B061D">
        <w:rPr>
          <w:rFonts w:ascii="Helvetica" w:eastAsia="Times New Roman" w:hAnsi="Helvetica" w:cs="Times New Roman"/>
          <w:color w:val="373A3C"/>
          <w:sz w:val="24"/>
          <w:szCs w:val="24"/>
          <w:lang w:eastAsia="el-GR"/>
        </w:rPr>
        <w:t>Ελληνικό Δίκτυο Διανομής Ηλεκτρικής Ενέργειας (ΕΔΔΗΕ):</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t xml:space="preserve"> το Ελληνικό Δίκτυο Διανομής Ηλεκτρικής Ενέργειας, όπως αυτό ορίζεται στον ν. 4001/2011 (Α’ 179).</w:t>
      </w:r>
    </w:p>
    <w:p w:rsidR="00A80E80" w:rsidRDefault="004B061D" w:rsidP="004B061D">
      <w:pPr>
        <w:shd w:val="clear" w:color="auto" w:fill="FFFFFF"/>
        <w:spacing w:after="100" w:afterAutospacing="1" w:line="240" w:lineRule="auto"/>
        <w:rPr>
          <w:rFonts w:eastAsia="Times New Roman" w:cs="Times New Roman"/>
          <w:color w:val="373A3C"/>
          <w:sz w:val="24"/>
          <w:szCs w:val="24"/>
          <w:lang w:eastAsia="el-GR"/>
        </w:rPr>
      </w:pPr>
      <w:r w:rsidRPr="004B061D">
        <w:rPr>
          <w:rFonts w:ascii="Helvetica" w:eastAsia="Times New Roman" w:hAnsi="Helvetica" w:cs="Times New Roman"/>
          <w:color w:val="373A3C"/>
          <w:sz w:val="24"/>
          <w:szCs w:val="24"/>
          <w:lang w:eastAsia="el-GR"/>
        </w:rPr>
        <w:t>Εσωτερική Ηλεκτρική Εγκατάσταση (ΕΗΕ):</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t xml:space="preserve"> Ηλεκτρική εγκατάσταση που τροφοδοτείται με ηλεκτρική ενέργεια που χρησιμοποιείται σε κλειστό ή υπαίθριο χώρο ακινήτου, η οποία παρέχεται από το Ελληνικό Δίκτυο Διανομής Ηλεκτρικής Ενέργειας (ΕΔΔΗΕ) ή από συστήματα </w:t>
      </w:r>
      <w:proofErr w:type="spellStart"/>
      <w:r w:rsidRPr="004B061D">
        <w:rPr>
          <w:rFonts w:ascii="Helvetica" w:eastAsia="Times New Roman" w:hAnsi="Helvetica" w:cs="Times New Roman"/>
          <w:color w:val="373A3C"/>
          <w:sz w:val="24"/>
          <w:szCs w:val="24"/>
          <w:lang w:eastAsia="el-GR"/>
        </w:rPr>
        <w:t>αυτοπαραγωγής</w:t>
      </w:r>
      <w:proofErr w:type="spellEnd"/>
      <w:r w:rsidRPr="004B061D">
        <w:rPr>
          <w:rFonts w:ascii="Helvetica" w:eastAsia="Times New Roman" w:hAnsi="Helvetica" w:cs="Times New Roman"/>
          <w:color w:val="373A3C"/>
          <w:sz w:val="24"/>
          <w:szCs w:val="24"/>
          <w:lang w:eastAsia="el-GR"/>
        </w:rPr>
        <w:t xml:space="preserve">. Τα εν λόγω συστήματα </w:t>
      </w:r>
      <w:proofErr w:type="spellStart"/>
      <w:r w:rsidRPr="004B061D">
        <w:rPr>
          <w:rFonts w:ascii="Helvetica" w:eastAsia="Times New Roman" w:hAnsi="Helvetica" w:cs="Times New Roman"/>
          <w:color w:val="373A3C"/>
          <w:sz w:val="24"/>
          <w:szCs w:val="24"/>
          <w:lang w:eastAsia="el-GR"/>
        </w:rPr>
        <w:t>αυτοπαραγωγής</w:t>
      </w:r>
      <w:proofErr w:type="spellEnd"/>
      <w:r w:rsidRPr="004B061D">
        <w:rPr>
          <w:rFonts w:ascii="Helvetica" w:eastAsia="Times New Roman" w:hAnsi="Helvetica" w:cs="Times New Roman"/>
          <w:color w:val="373A3C"/>
          <w:sz w:val="24"/>
          <w:szCs w:val="24"/>
          <w:lang w:eastAsia="el-GR"/>
        </w:rPr>
        <w:t xml:space="preserve"> χαμηλής τάσης αποτελούν μέρος της ΕΗΕ.</w:t>
      </w:r>
    </w:p>
    <w:p w:rsidR="00A80E80" w:rsidRDefault="004B061D" w:rsidP="004B061D">
      <w:pPr>
        <w:shd w:val="clear" w:color="auto" w:fill="FFFFFF"/>
        <w:spacing w:after="100" w:afterAutospacing="1" w:line="240" w:lineRule="auto"/>
        <w:rPr>
          <w:rFonts w:eastAsia="Times New Roman" w:cs="Times New Roman"/>
          <w:color w:val="373A3C"/>
          <w:sz w:val="24"/>
          <w:szCs w:val="24"/>
          <w:lang w:eastAsia="el-GR"/>
        </w:rPr>
      </w:pPr>
      <w:r w:rsidRPr="004B061D">
        <w:rPr>
          <w:rFonts w:ascii="Helvetica" w:eastAsia="Times New Roman" w:hAnsi="Helvetica" w:cs="Times New Roman"/>
          <w:color w:val="373A3C"/>
          <w:sz w:val="24"/>
          <w:szCs w:val="24"/>
          <w:lang w:eastAsia="el-GR"/>
        </w:rPr>
        <w:t xml:space="preserve">Υπεύθυνη Δήλωση Εγκαταστάτη (ΥΔΕ): </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lastRenderedPageBreak/>
        <w:t>υπεύθυνη δήλωση σύμφωνα με τις διατάξεις της παρ. 1 του άρθρου 2, του ν. 4483/1965 (Α’ 118).</w:t>
      </w:r>
    </w:p>
    <w:p w:rsidR="00A80E80" w:rsidRDefault="004B061D" w:rsidP="004B061D">
      <w:pPr>
        <w:shd w:val="clear" w:color="auto" w:fill="FFFFFF"/>
        <w:spacing w:after="100" w:afterAutospacing="1" w:line="240" w:lineRule="auto"/>
        <w:rPr>
          <w:rFonts w:eastAsia="Times New Roman" w:cs="Times New Roman"/>
          <w:color w:val="373A3C"/>
          <w:sz w:val="24"/>
          <w:szCs w:val="24"/>
          <w:lang w:eastAsia="el-GR"/>
        </w:rPr>
      </w:pPr>
      <w:r w:rsidRPr="004B061D">
        <w:rPr>
          <w:rFonts w:ascii="Helvetica" w:eastAsia="Times New Roman" w:hAnsi="Helvetica" w:cs="Times New Roman"/>
          <w:color w:val="373A3C"/>
          <w:sz w:val="24"/>
          <w:szCs w:val="24"/>
          <w:lang w:eastAsia="el-GR"/>
        </w:rPr>
        <w:t xml:space="preserve">Έλεγχος Ηλεκτρικών Εγκαταστάσεων: </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t>έλεγχος που διενεργείται με σκοπό τη διαπίστωση της ασφαλούς και ορθής λειτουργίας των ηλεκτρικών εγκαταστάσεων.</w:t>
      </w:r>
    </w:p>
    <w:p w:rsidR="00A80E80" w:rsidRDefault="004B061D" w:rsidP="004B061D">
      <w:pPr>
        <w:shd w:val="clear" w:color="auto" w:fill="FFFFFF"/>
        <w:spacing w:after="100" w:afterAutospacing="1" w:line="240" w:lineRule="auto"/>
        <w:rPr>
          <w:rFonts w:eastAsia="Times New Roman" w:cs="Times New Roman"/>
          <w:color w:val="373A3C"/>
          <w:sz w:val="24"/>
          <w:szCs w:val="24"/>
          <w:lang w:eastAsia="el-GR"/>
        </w:rPr>
      </w:pPr>
      <w:r w:rsidRPr="004B061D">
        <w:rPr>
          <w:rFonts w:ascii="Helvetica" w:eastAsia="Times New Roman" w:hAnsi="Helvetica" w:cs="Times New Roman"/>
          <w:color w:val="373A3C"/>
          <w:sz w:val="24"/>
          <w:szCs w:val="24"/>
          <w:lang w:eastAsia="el-GR"/>
        </w:rPr>
        <w:t xml:space="preserve">Τεχνική Προδιαγραφή: </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t>έγγραφο που ορίζει τις τεχνικές απαιτήσεις που πρέπει να ικανοποιεί ένα προϊόν, μια διεργασία, μια υπηρεσία ή ένα σύστημα και το οποίο καθορίζει τα απαιτούμενα χαρακτηριστικά του προϊόντος, της διεργασίας, της υπηρεσίας, ή του συστήματος.</w:t>
      </w:r>
    </w:p>
    <w:p w:rsidR="00A80E80" w:rsidRDefault="004B061D" w:rsidP="004B061D">
      <w:pPr>
        <w:shd w:val="clear" w:color="auto" w:fill="FFFFFF"/>
        <w:spacing w:after="100" w:afterAutospacing="1" w:line="240" w:lineRule="auto"/>
        <w:rPr>
          <w:rFonts w:eastAsia="Times New Roman" w:cs="Times New Roman"/>
          <w:color w:val="373A3C"/>
          <w:sz w:val="24"/>
          <w:szCs w:val="24"/>
          <w:lang w:eastAsia="el-GR"/>
        </w:rPr>
      </w:pPr>
      <w:r w:rsidRPr="004B061D">
        <w:rPr>
          <w:rFonts w:ascii="Helvetica" w:eastAsia="Times New Roman" w:hAnsi="Helvetica" w:cs="Times New Roman"/>
          <w:color w:val="373A3C"/>
          <w:sz w:val="24"/>
          <w:szCs w:val="24"/>
          <w:lang w:eastAsia="el-GR"/>
        </w:rPr>
        <w:t xml:space="preserve">Πρότυπο: </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t>τεχνική προδιαγραφή που έχει εγκριθεί από αναγνωρισμένο φορέα τυποποίησης για επαναλαμβανόμενη ή διαρκή εφαρμογή, η τήρηση του οποίου δεν είναι υποχρεωτική, εκτός εάν η εφαρμογή του επιβάλλεται νομοθετικά.</w:t>
      </w:r>
    </w:p>
    <w:p w:rsidR="00A80E80" w:rsidRDefault="004B061D" w:rsidP="004B061D">
      <w:pPr>
        <w:shd w:val="clear" w:color="auto" w:fill="FFFFFF"/>
        <w:spacing w:after="100" w:afterAutospacing="1" w:line="240" w:lineRule="auto"/>
        <w:rPr>
          <w:rFonts w:eastAsia="Times New Roman" w:cs="Times New Roman"/>
          <w:color w:val="373A3C"/>
          <w:sz w:val="24"/>
          <w:szCs w:val="24"/>
          <w:lang w:eastAsia="el-GR"/>
        </w:rPr>
      </w:pPr>
      <w:r w:rsidRPr="004B061D">
        <w:rPr>
          <w:rFonts w:ascii="Helvetica" w:eastAsia="Times New Roman" w:hAnsi="Helvetica" w:cs="Times New Roman"/>
          <w:color w:val="373A3C"/>
          <w:sz w:val="24"/>
          <w:szCs w:val="24"/>
          <w:lang w:eastAsia="el-GR"/>
        </w:rPr>
        <w:t>Ελληνικό Πρότυπο ΕΛΟΤ 60364</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t xml:space="preserve"> «Απαιτήσεις για ηλεκτρικές εγκαταστάσεις»: Πρότυπο του ΕΛΟΤ που έχει συνταχθεί με βάση τα έγγραφα εναρμόνισης της Ευρωπαϊκής Επιτροπής Ηλεκτροτεχνικής Τυποποίησης (C ENELEC), τα οποία προέρχονται κυρίως από τη σειρά HD 60364 αλλά και από τη σειρά HD 384 και το οποίο έχει δημοσιευθεί ως ΕΛΟΤ 60364:2020.</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Άρθρο 3</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Απαιτήσεις Ασφάλειας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w:t>
      </w:r>
      <w:r w:rsidRPr="004B061D">
        <w:rPr>
          <w:rFonts w:ascii="Helvetica" w:eastAsia="Times New Roman" w:hAnsi="Helvetica" w:cs="Times New Roman"/>
          <w:color w:val="373A3C"/>
          <w:sz w:val="24"/>
          <w:szCs w:val="24"/>
          <w:lang w:eastAsia="el-GR"/>
        </w:rPr>
        <w:t> Με την επιφύλαξη της παρ. 3 του άρθρου 1:</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α.</w:t>
      </w:r>
      <w:r w:rsidRPr="004B061D">
        <w:rPr>
          <w:rFonts w:ascii="Helvetica" w:eastAsia="Times New Roman" w:hAnsi="Helvetica" w:cs="Times New Roman"/>
          <w:color w:val="373A3C"/>
          <w:sz w:val="24"/>
          <w:szCs w:val="24"/>
          <w:lang w:eastAsia="el-GR"/>
        </w:rPr>
        <w:t> Οι ΕΗΕ ή τμήματα αυτών, τεκμαίρεται ότι ικανοποιούν τις απαιτήσεις ασφάλειας και ορθής λειτουργίας της παρούσας απόφασης κατά τη σκοπούμενη και εύλογα προβλέψιμη χρήση τους, εφόσον σχεδιάζονται, κατασκευάζονται, τροποποιούνται, συντηρούνται και ελέγχονται βάσει των γενικών και ειδικών απαιτήσεων του προτύπου ΕΛΟΤ 60364, ή αντίστοιχου διεθνούς, ή ευρωπαϊκού, ή εθνικού προτύπου, ή τεχνικών προδιαγραφών που παρέχουν ισοδύναμο επίπεδο ασφάλειας.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β.</w:t>
      </w:r>
      <w:r w:rsidRPr="004B061D">
        <w:rPr>
          <w:rFonts w:ascii="Helvetica" w:eastAsia="Times New Roman" w:hAnsi="Helvetica" w:cs="Times New Roman"/>
          <w:color w:val="373A3C"/>
          <w:sz w:val="24"/>
          <w:szCs w:val="24"/>
          <w:lang w:eastAsia="el-GR"/>
        </w:rPr>
        <w:t xml:space="preserve"> Τροποποιήσεις ή επεκτάσεις σε υφιστάμενες ΕΗΕ, τεκμαίρεται ότι ικανοποιούν τις απαιτήσεις ασφάλειας και ορθής λειτουργίας της παρούσας απόφασης κατά τη σκοπούμενη και εύλογα προβλέψιμη χρήση τους, εφόσον σχεδιάζονται και υλοποιούνται βάσει των γενικών και ειδικών απαιτήσεων του προτύπου ΕΛΟΤ 60364, ή αντίστοιχου διεθνούς, ή ευρωπαϊκού, ή εθνικού </w:t>
      </w:r>
      <w:r w:rsidRPr="004B061D">
        <w:rPr>
          <w:rFonts w:ascii="Helvetica" w:eastAsia="Times New Roman" w:hAnsi="Helvetica" w:cs="Times New Roman"/>
          <w:color w:val="373A3C"/>
          <w:sz w:val="24"/>
          <w:szCs w:val="24"/>
          <w:lang w:eastAsia="el-GR"/>
        </w:rPr>
        <w:lastRenderedPageBreak/>
        <w:t>προτύπου, ή τεχνικών προδιαγραφών που παρέχουν ισοδύναμο επίπεδο ασφάλειας.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2</w:t>
      </w:r>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color w:val="373A3C"/>
          <w:sz w:val="24"/>
          <w:szCs w:val="24"/>
          <w:highlight w:val="yellow"/>
          <w:lang w:eastAsia="el-GR"/>
        </w:rPr>
        <w:t xml:space="preserve"> Υφιστάμενες ΕΗΕ ή τμήματα αυτών, ικανοποιούν τις απαιτήσεις ασφάλειας και ορθής λειτουργίας, κατά τη σκοπούμενη και εύλογα προβλέψιμη χρήση τους, εφόσον τεκμηριωμένα συμμορφώνονται με τις τεχνικές απαιτήσεις της νομοθεσίας </w:t>
      </w:r>
      <w:r w:rsidRPr="00A80E80">
        <w:rPr>
          <w:rFonts w:ascii="Helvetica" w:eastAsia="Times New Roman" w:hAnsi="Helvetica" w:cs="Times New Roman"/>
          <w:color w:val="373A3C"/>
          <w:sz w:val="28"/>
          <w:szCs w:val="28"/>
          <w:highlight w:val="yellow"/>
          <w:lang w:eastAsia="el-GR"/>
        </w:rPr>
        <w:t>που ίσχυε κατά τον χρόνο κατασκευής τους.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3.</w:t>
      </w:r>
      <w:r w:rsidRPr="004B061D">
        <w:rPr>
          <w:rFonts w:ascii="Helvetica" w:eastAsia="Times New Roman" w:hAnsi="Helvetica" w:cs="Times New Roman"/>
          <w:color w:val="373A3C"/>
          <w:sz w:val="24"/>
          <w:szCs w:val="24"/>
          <w:lang w:eastAsia="el-GR"/>
        </w:rPr>
        <w:t> Προϊόντα που εμπίπτουν στις διατάξεις της εναρμονισμένης τεχνικής νομοθεσίας της Ευρωπαϊκής Ένωσης και φέρουν σήμανση CE, ικανοποιούν τις απαιτήσεις της παρούσας απόφασης που τα αφορούν.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Άρθρο 4</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Έλεγχοι Εσωτερικών Ηλεκτρικών Εγκαταστάσεων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w:t>
      </w:r>
      <w:r w:rsidRPr="004B061D">
        <w:rPr>
          <w:rFonts w:ascii="Helvetica" w:eastAsia="Times New Roman" w:hAnsi="Helvetica" w:cs="Times New Roman"/>
          <w:color w:val="373A3C"/>
          <w:sz w:val="24"/>
          <w:szCs w:val="24"/>
          <w:lang w:eastAsia="el-GR"/>
        </w:rPr>
        <w:t> Για διαπίστωση και τεκμηρίωση της ασφαλούς και ορθής λειτουργίας των ΕΗΕ, απαιτείται η διενέργεια αρχικού ελέγχου, τακτικών επανελέγχων και έκτακτων ελέγχων. Οι έλεγχοι διενεργούνται με βάση τις τεχνικές απαιτήσεις της νομοθεσίας του χρόνου κατασκευής των ΕΗΕ ή τμημάτων αυτών, καθώς και των λοιπών διατάξεων ασφάλειας που τις αφορούν.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2.</w:t>
      </w:r>
      <w:r w:rsidRPr="004B061D">
        <w:rPr>
          <w:rFonts w:ascii="Helvetica" w:eastAsia="Times New Roman" w:hAnsi="Helvetica" w:cs="Times New Roman"/>
          <w:color w:val="373A3C"/>
          <w:sz w:val="24"/>
          <w:szCs w:val="24"/>
          <w:lang w:eastAsia="el-GR"/>
        </w:rPr>
        <w:t> Συνακόλουθα των ελέγχων της προηγούμενης παρ. 1, συντάσσεται ΥΔΕ για την ΕΗΕ, με ευθύνη του έχοντα το νόμιμο προς τούτο δικαίωμα, σύμφωνα με το υπόδειγμα του Παραρτήματος Ι. Τα αναγκαία στοιχεία τεκμηρίωσης που συνοδεύουν την ΥΔΕ, αναφέρονται αναλυτικά στα υποδείγματα του Παραρτήματος Ι.</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3.</w:t>
      </w:r>
      <w:r w:rsidRPr="004B061D">
        <w:rPr>
          <w:rFonts w:ascii="Helvetica" w:eastAsia="Times New Roman" w:hAnsi="Helvetica" w:cs="Times New Roman"/>
          <w:color w:val="373A3C"/>
          <w:sz w:val="24"/>
          <w:szCs w:val="24"/>
          <w:lang w:eastAsia="el-GR"/>
        </w:rPr>
        <w:t> Τα ηλεκτρολογικά σχέδια της ΕΗΕ που συνοδεύουν την ΥΔΕ, περιλαμβάνουν: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α.</w:t>
      </w:r>
      <w:r w:rsidRPr="004B061D">
        <w:rPr>
          <w:rFonts w:ascii="Helvetica" w:eastAsia="Times New Roman" w:hAnsi="Helvetica" w:cs="Times New Roman"/>
          <w:color w:val="373A3C"/>
          <w:sz w:val="24"/>
          <w:szCs w:val="24"/>
          <w:lang w:eastAsia="el-GR"/>
        </w:rPr>
        <w:t> τη θέση των σταθερών ηλεκτρικών συσκευών, κινητήρων και μηχανημάτων,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β.</w:t>
      </w:r>
      <w:r w:rsidRPr="004B061D">
        <w:rPr>
          <w:rFonts w:ascii="Helvetica" w:eastAsia="Times New Roman" w:hAnsi="Helvetica" w:cs="Times New Roman"/>
          <w:color w:val="373A3C"/>
          <w:sz w:val="24"/>
          <w:szCs w:val="24"/>
          <w:lang w:eastAsia="el-GR"/>
        </w:rPr>
        <w:t> τις διαδρομές των ηλεκτρικών γραμμών, εφόσον οι αγωγοί τους έχουν διατομή ίση ή μεγαλύτερη του 1,5 mm2 , οι οποίες κατά τη διενέργεια τακτικών επανελέγχων και έκτακτων ελέγχων δύναται να είναι ενδεικτικές, γεγονός που επισημαίνεται,</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γ.</w:t>
      </w:r>
      <w:r w:rsidRPr="004B061D">
        <w:rPr>
          <w:rFonts w:ascii="Helvetica" w:eastAsia="Times New Roman" w:hAnsi="Helvetica" w:cs="Times New Roman"/>
          <w:color w:val="373A3C"/>
          <w:sz w:val="24"/>
          <w:szCs w:val="24"/>
          <w:lang w:eastAsia="el-GR"/>
        </w:rPr>
        <w:t xml:space="preserve"> τη θέση των διακοπτών, ρυθμιστών, </w:t>
      </w:r>
      <w:proofErr w:type="spellStart"/>
      <w:r w:rsidRPr="004B061D">
        <w:rPr>
          <w:rFonts w:ascii="Helvetica" w:eastAsia="Times New Roman" w:hAnsi="Helvetica" w:cs="Times New Roman"/>
          <w:color w:val="373A3C"/>
          <w:sz w:val="24"/>
          <w:szCs w:val="24"/>
          <w:lang w:eastAsia="el-GR"/>
        </w:rPr>
        <w:t>κομβίων</w:t>
      </w:r>
      <w:proofErr w:type="spellEnd"/>
      <w:r w:rsidRPr="004B061D">
        <w:rPr>
          <w:rFonts w:ascii="Helvetica" w:eastAsia="Times New Roman" w:hAnsi="Helvetica" w:cs="Times New Roman"/>
          <w:color w:val="373A3C"/>
          <w:sz w:val="24"/>
          <w:szCs w:val="24"/>
          <w:lang w:eastAsia="el-GR"/>
        </w:rPr>
        <w:t xml:space="preserve"> πίεσης, ανιχνευτών, θερμοστατών, φωτιστικών, ρευματοδοτών, λοιπού ηλεκτρικού εξοπλισμού και πινάκων, στο χώρο εγκατάστασής τους,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δ.</w:t>
      </w:r>
      <w:r w:rsidRPr="004B061D">
        <w:rPr>
          <w:rFonts w:ascii="Helvetica" w:eastAsia="Times New Roman" w:hAnsi="Helvetica" w:cs="Times New Roman"/>
          <w:color w:val="373A3C"/>
          <w:sz w:val="24"/>
          <w:szCs w:val="24"/>
          <w:lang w:eastAsia="el-GR"/>
        </w:rPr>
        <w:t> πλήρες μονογραμμικό σχέδιο του πίνακα ή των πινάκων όπου αναγράφονται οι διατομές των καλωδιώσεων των ηλεκτρικών γραμμών, τα χαρακτηριστικά του περιεχόμενου ηλεκτρολογικού υλικού (ασφάλειες, διακόπτες, Διατάξεις Διαφορικού Ρεύματος, κ.λπ.) και η περιγραφή των κυκλωμάτων που τροφοδοτούνται.</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lastRenderedPageBreak/>
        <w:t>Τμήματα ΕΗΕ που έχουν κατασκευαστεί με διαφορετικές τεχνικές απαιτήσεις της νομοθεσίας, επισημαίνονται εμφανώς στα ηλεκτρολογικά σχέδια.</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4.</w:t>
      </w:r>
      <w:r w:rsidRPr="00A80E80">
        <w:rPr>
          <w:rFonts w:ascii="Helvetica" w:eastAsia="Times New Roman" w:hAnsi="Helvetica" w:cs="Times New Roman"/>
          <w:b/>
          <w:color w:val="373A3C"/>
          <w:sz w:val="24"/>
          <w:szCs w:val="24"/>
          <w:highlight w:val="yellow"/>
          <w:lang w:eastAsia="el-GR"/>
        </w:rPr>
        <w:t> Οι έλεγχοι της παρ. 1 αφορούν σε:</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α.</w:t>
      </w:r>
      <w:r w:rsidRPr="00A80E80">
        <w:rPr>
          <w:rFonts w:ascii="Helvetica" w:eastAsia="Times New Roman" w:hAnsi="Helvetica" w:cs="Times New Roman"/>
          <w:b/>
          <w:color w:val="373A3C"/>
          <w:sz w:val="24"/>
          <w:szCs w:val="24"/>
          <w:highlight w:val="yellow"/>
          <w:lang w:eastAsia="el-GR"/>
        </w:rPr>
        <w:t> αρχικό έλεγχο, ο οποίος πραγματοποιείται μετά την ολοκλήρωση των εργασιών κατασκευής της ΕΗΕ για την αρχική ηλεκτροδότησή της,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β.</w:t>
      </w:r>
      <w:r w:rsidRPr="00A80E80">
        <w:rPr>
          <w:rFonts w:ascii="Helvetica" w:eastAsia="Times New Roman" w:hAnsi="Helvetica" w:cs="Times New Roman"/>
          <w:b/>
          <w:color w:val="373A3C"/>
          <w:sz w:val="24"/>
          <w:szCs w:val="24"/>
          <w:highlight w:val="yellow"/>
          <w:lang w:eastAsia="el-GR"/>
        </w:rPr>
        <w:t> τακτικό επανέλεγχο, σύμφωνα με τα προβλεπόμενα στην επόμενη παρ. 5,</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γ.</w:t>
      </w:r>
      <w:r w:rsidRPr="00A80E80">
        <w:rPr>
          <w:rFonts w:ascii="Helvetica" w:eastAsia="Times New Roman" w:hAnsi="Helvetica" w:cs="Times New Roman"/>
          <w:b/>
          <w:color w:val="373A3C"/>
          <w:sz w:val="24"/>
          <w:szCs w:val="24"/>
          <w:highlight w:val="yellow"/>
          <w:lang w:eastAsia="el-GR"/>
        </w:rPr>
        <w:t> έκτακτο έλεγχο, ο οποίος πραγματοποιείται:</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proofErr w:type="spellStart"/>
      <w:r w:rsidRPr="00A80E80">
        <w:rPr>
          <w:rFonts w:ascii="Helvetica" w:eastAsia="Times New Roman" w:hAnsi="Helvetica" w:cs="Times New Roman"/>
          <w:b/>
          <w:bCs/>
          <w:color w:val="373A3C"/>
          <w:sz w:val="24"/>
          <w:szCs w:val="24"/>
          <w:highlight w:val="yellow"/>
          <w:lang w:eastAsia="el-GR"/>
        </w:rPr>
        <w:t>αα</w:t>
      </w:r>
      <w:proofErr w:type="spellEnd"/>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b/>
          <w:color w:val="373A3C"/>
          <w:sz w:val="24"/>
          <w:szCs w:val="24"/>
          <w:highlight w:val="yellow"/>
          <w:lang w:eastAsia="el-GR"/>
        </w:rPr>
        <w:t> εντός χρονικού διαστήματος 30 ημερών, εφόσον προκύψει:</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i)</w:t>
      </w:r>
      <w:r w:rsidRPr="00A80E80">
        <w:rPr>
          <w:rFonts w:ascii="Helvetica" w:eastAsia="Times New Roman" w:hAnsi="Helvetica" w:cs="Times New Roman"/>
          <w:b/>
          <w:color w:val="373A3C"/>
          <w:sz w:val="24"/>
          <w:szCs w:val="24"/>
          <w:highlight w:val="yellow"/>
          <w:lang w:eastAsia="el-GR"/>
        </w:rPr>
        <w:t> αλλαγή κατηγορίας, ή αλλαγή χρήσης (υποκατηγορίας) της ΕΗΕ εντός της ίδιας κατηγορίας, με βάση την κατηγοριοποίηση της παρ. 5, του παρόντος άρθρου,</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proofErr w:type="spellStart"/>
      <w:r w:rsidRPr="00A80E80">
        <w:rPr>
          <w:rFonts w:ascii="Helvetica" w:eastAsia="Times New Roman" w:hAnsi="Helvetica" w:cs="Times New Roman"/>
          <w:b/>
          <w:bCs/>
          <w:color w:val="373A3C"/>
          <w:sz w:val="24"/>
          <w:szCs w:val="24"/>
          <w:highlight w:val="yellow"/>
          <w:lang w:eastAsia="el-GR"/>
        </w:rPr>
        <w:t>ii</w:t>
      </w:r>
      <w:proofErr w:type="spellEnd"/>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b/>
          <w:color w:val="373A3C"/>
          <w:sz w:val="24"/>
          <w:szCs w:val="24"/>
          <w:highlight w:val="yellow"/>
          <w:lang w:eastAsia="el-GR"/>
        </w:rPr>
        <w:t> αλλαγή ιδιοκτήτη ή καταναλωτή στις περιπτώσεις ΕΗΕ των κατηγοριών Β και Γ του Παραρτήματος ΙΙ.</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proofErr w:type="spellStart"/>
      <w:r w:rsidRPr="00A80E80">
        <w:rPr>
          <w:rFonts w:ascii="Helvetica" w:eastAsia="Times New Roman" w:hAnsi="Helvetica" w:cs="Times New Roman"/>
          <w:b/>
          <w:bCs/>
          <w:color w:val="373A3C"/>
          <w:sz w:val="24"/>
          <w:szCs w:val="24"/>
          <w:highlight w:val="yellow"/>
          <w:lang w:eastAsia="el-GR"/>
        </w:rPr>
        <w:t>ββ</w:t>
      </w:r>
      <w:proofErr w:type="spellEnd"/>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b/>
          <w:color w:val="373A3C"/>
          <w:sz w:val="24"/>
          <w:szCs w:val="24"/>
          <w:highlight w:val="yellow"/>
          <w:lang w:eastAsia="el-GR"/>
        </w:rPr>
        <w:t> αμέσως μετά από:</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r w:rsidRPr="00A80E80">
        <w:rPr>
          <w:rFonts w:ascii="Helvetica" w:eastAsia="Times New Roman" w:hAnsi="Helvetica" w:cs="Times New Roman"/>
          <w:b/>
          <w:bCs/>
          <w:color w:val="373A3C"/>
          <w:sz w:val="24"/>
          <w:szCs w:val="24"/>
          <w:highlight w:val="yellow"/>
          <w:lang w:eastAsia="el-GR"/>
        </w:rPr>
        <w:t>i)</w:t>
      </w:r>
      <w:r w:rsidRPr="00A80E80">
        <w:rPr>
          <w:rFonts w:ascii="Helvetica" w:eastAsia="Times New Roman" w:hAnsi="Helvetica" w:cs="Times New Roman"/>
          <w:b/>
          <w:color w:val="373A3C"/>
          <w:sz w:val="24"/>
          <w:szCs w:val="24"/>
          <w:highlight w:val="yellow"/>
          <w:lang w:eastAsia="el-GR"/>
        </w:rPr>
        <w:t> τροποποίηση επί υφιστάμενης ΕΗΕ που αφορά σε ηλεκτρικό πίνακα, σε προσθήκη ή αφαίρεση υλικών που άπτονται της ηλεκτρικής ασφάλειας, ή σε διάταξη γείωσης,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proofErr w:type="spellStart"/>
      <w:r w:rsidRPr="00A80E80">
        <w:rPr>
          <w:rFonts w:ascii="Helvetica" w:eastAsia="Times New Roman" w:hAnsi="Helvetica" w:cs="Times New Roman"/>
          <w:b/>
          <w:bCs/>
          <w:color w:val="373A3C"/>
          <w:sz w:val="24"/>
          <w:szCs w:val="24"/>
          <w:highlight w:val="yellow"/>
          <w:lang w:eastAsia="el-GR"/>
        </w:rPr>
        <w:t>ii</w:t>
      </w:r>
      <w:proofErr w:type="spellEnd"/>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b/>
          <w:color w:val="373A3C"/>
          <w:sz w:val="24"/>
          <w:szCs w:val="24"/>
          <w:highlight w:val="yellow"/>
          <w:lang w:eastAsia="el-GR"/>
        </w:rPr>
        <w:t> συμβάν σοβαρού ατυχήματος που σχετίζεται άμεσα με την ΕΗΕ, όπως ηλεκτροπληξία,</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proofErr w:type="spellStart"/>
      <w:r w:rsidRPr="00A80E80">
        <w:rPr>
          <w:rFonts w:ascii="Helvetica" w:eastAsia="Times New Roman" w:hAnsi="Helvetica" w:cs="Times New Roman"/>
          <w:b/>
          <w:bCs/>
          <w:color w:val="373A3C"/>
          <w:sz w:val="24"/>
          <w:szCs w:val="24"/>
          <w:highlight w:val="yellow"/>
          <w:lang w:eastAsia="el-GR"/>
        </w:rPr>
        <w:t>iii</w:t>
      </w:r>
      <w:proofErr w:type="spellEnd"/>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b/>
          <w:color w:val="373A3C"/>
          <w:sz w:val="24"/>
          <w:szCs w:val="24"/>
          <w:highlight w:val="yellow"/>
          <w:lang w:eastAsia="el-GR"/>
        </w:rPr>
        <w:t> βλαπτικό προς την ΕΗΕ γεγονός, όπως πλημμύρα, πυρκαγιά, σεισμός, κ.λπ.</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highlight w:val="yellow"/>
          <w:lang w:eastAsia="el-GR"/>
        </w:rPr>
      </w:pPr>
      <w:proofErr w:type="spellStart"/>
      <w:r w:rsidRPr="00A80E80">
        <w:rPr>
          <w:rFonts w:ascii="Helvetica" w:eastAsia="Times New Roman" w:hAnsi="Helvetica" w:cs="Times New Roman"/>
          <w:b/>
          <w:bCs/>
          <w:color w:val="373A3C"/>
          <w:sz w:val="24"/>
          <w:szCs w:val="24"/>
          <w:highlight w:val="yellow"/>
          <w:lang w:eastAsia="el-GR"/>
        </w:rPr>
        <w:t>γγ</w:t>
      </w:r>
      <w:proofErr w:type="spellEnd"/>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b/>
          <w:color w:val="373A3C"/>
          <w:sz w:val="24"/>
          <w:szCs w:val="24"/>
          <w:highlight w:val="yellow"/>
          <w:lang w:eastAsia="el-GR"/>
        </w:rPr>
        <w:t> πριν την επανασύνδεση στο ΕΔΔΗΕ υπαίθριας επαγγελματικής ΕΗΕ, σε περίπτωση διακοπής ηλεκτροδότησής της,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4"/>
          <w:szCs w:val="24"/>
          <w:lang w:eastAsia="el-GR"/>
        </w:rPr>
      </w:pPr>
      <w:proofErr w:type="spellStart"/>
      <w:r w:rsidRPr="00A80E80">
        <w:rPr>
          <w:rFonts w:ascii="Helvetica" w:eastAsia="Times New Roman" w:hAnsi="Helvetica" w:cs="Times New Roman"/>
          <w:b/>
          <w:bCs/>
          <w:color w:val="373A3C"/>
          <w:sz w:val="24"/>
          <w:szCs w:val="24"/>
          <w:highlight w:val="yellow"/>
          <w:lang w:eastAsia="el-GR"/>
        </w:rPr>
        <w:t>δδ</w:t>
      </w:r>
      <w:proofErr w:type="spellEnd"/>
      <w:r w:rsidRPr="00A80E80">
        <w:rPr>
          <w:rFonts w:ascii="Helvetica" w:eastAsia="Times New Roman" w:hAnsi="Helvetica" w:cs="Times New Roman"/>
          <w:b/>
          <w:bCs/>
          <w:color w:val="373A3C"/>
          <w:sz w:val="24"/>
          <w:szCs w:val="24"/>
          <w:highlight w:val="yellow"/>
          <w:lang w:eastAsia="el-GR"/>
        </w:rPr>
        <w:t>)</w:t>
      </w:r>
      <w:r w:rsidRPr="00A80E80">
        <w:rPr>
          <w:rFonts w:ascii="Helvetica" w:eastAsia="Times New Roman" w:hAnsi="Helvetica" w:cs="Times New Roman"/>
          <w:b/>
          <w:color w:val="373A3C"/>
          <w:sz w:val="24"/>
          <w:szCs w:val="24"/>
          <w:highlight w:val="yellow"/>
          <w:lang w:eastAsia="el-GR"/>
        </w:rPr>
        <w:t> κατόπιν απαίτησης ή εντολής ελέγχου από αρμόδια αρχή.</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5.</w:t>
      </w:r>
      <w:r w:rsidRPr="004B061D">
        <w:rPr>
          <w:rFonts w:ascii="Helvetica" w:eastAsia="Times New Roman" w:hAnsi="Helvetica" w:cs="Times New Roman"/>
          <w:color w:val="373A3C"/>
          <w:sz w:val="24"/>
          <w:szCs w:val="24"/>
          <w:lang w:eastAsia="el-GR"/>
        </w:rPr>
        <w:t> Οι ΕΗΕ, ανάλογα με το χώρο ή τους χώρους που λειτουργούν, διακρίνονται σε τρεις βασικές κατηγορίες Α, Β και Γ, κάθε μία από τις οποίες περιλαμβάνει ένα σύνολο αριθμημένων χώρων λειτουργίας, σύμφωνα με το Παράρτημα ΙΙ. Κάθε κατηγορία Α, Β και Γ, καθορίζει το μέγιστο χρονικό διάστημα μέχρι την πραγματοποίηση του επόμενου τακτικού επανελέγχου των ΕΗΕ.</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6.</w:t>
      </w:r>
      <w:r w:rsidRPr="004B061D">
        <w:rPr>
          <w:rFonts w:ascii="Helvetica" w:eastAsia="Times New Roman" w:hAnsi="Helvetica" w:cs="Times New Roman"/>
          <w:color w:val="373A3C"/>
          <w:sz w:val="24"/>
          <w:szCs w:val="24"/>
          <w:lang w:eastAsia="el-GR"/>
        </w:rPr>
        <w:t xml:space="preserve"> Για την ηλεκτροδότηση μη ηλεκτροδοτημένης ΕΗΕ όπου, για τεχνικούς λόγους, ο έλεγχος δεν είναι δυνατόν να ολοκληρωθεί με τη συμπλήρωση όλων των προβλεπόμενων πεδίων του σχετικού Πρωτοκόλλου (ή Πρωτοκόλλων) Ελέγχου, αναφέρονται αναλυτικά στις παρατηρήσεις τα πεδία που δεν συμπληρώθηκαν κατά την ελεγκτική διαδικασία και υποβάλλεται ΥΔΕ </w:t>
      </w:r>
      <w:r w:rsidRPr="004B061D">
        <w:rPr>
          <w:rFonts w:ascii="Helvetica" w:eastAsia="Times New Roman" w:hAnsi="Helvetica" w:cs="Times New Roman"/>
          <w:color w:val="373A3C"/>
          <w:sz w:val="24"/>
          <w:szCs w:val="24"/>
          <w:lang w:eastAsia="el-GR"/>
        </w:rPr>
        <w:lastRenderedPageBreak/>
        <w:t xml:space="preserve">η οποία φέρει την ένδειξη «μη οριστικοποιημένη». Με την έναρξη της ηλεκτροδότησης, απαιτείται η συμπλήρωση όλων των πεδίων ελέγχου του σχετικού Πρωτοκόλλου (ή Πρωτοκόλλων) Ελέγχου, με βάση τα αποτελέσματα των αντίστοιχων δοκιμών και μετρήσεων και συντάσσεται νέα ΥΔΕ με την ένδειξη «οριστικοποιημένη», η οποία υποβάλλεται εντός σαράντα πέντε (45) ημερών από την ηλεκτροδότηση. Η οριστικοποιημένη ΥΔΕ συνοδεύεται μόνο από το συμπληρωμένο σε όλα τα πεδία του Πρωτόκολλο (ή Πρωτόκολλα) Ελέγχου, εφόσον δεν έχει επέλθει μεταβολή στην ΕΗΕ για την οποία απαιτείται υποβολή </w:t>
      </w:r>
      <w:proofErr w:type="spellStart"/>
      <w:r w:rsidRPr="004B061D">
        <w:rPr>
          <w:rFonts w:ascii="Helvetica" w:eastAsia="Times New Roman" w:hAnsi="Helvetica" w:cs="Times New Roman"/>
          <w:color w:val="373A3C"/>
          <w:sz w:val="24"/>
          <w:szCs w:val="24"/>
          <w:lang w:eastAsia="el-GR"/>
        </w:rPr>
        <w:t>επικαιροποιημένης</w:t>
      </w:r>
      <w:proofErr w:type="spellEnd"/>
      <w:r w:rsidRPr="004B061D">
        <w:rPr>
          <w:rFonts w:ascii="Helvetica" w:eastAsia="Times New Roman" w:hAnsi="Helvetica" w:cs="Times New Roman"/>
          <w:color w:val="373A3C"/>
          <w:sz w:val="24"/>
          <w:szCs w:val="24"/>
          <w:lang w:eastAsia="el-GR"/>
        </w:rPr>
        <w:t xml:space="preserve"> συνοδευτικής τεκμηρίωσης.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7.</w:t>
      </w:r>
      <w:r w:rsidRPr="004B061D">
        <w:rPr>
          <w:rFonts w:ascii="Helvetica" w:eastAsia="Times New Roman" w:hAnsi="Helvetica" w:cs="Times New Roman"/>
          <w:color w:val="373A3C"/>
          <w:sz w:val="24"/>
          <w:szCs w:val="24"/>
          <w:lang w:eastAsia="el-GR"/>
        </w:rPr>
        <w:t> Η ΥΔΕ με τα στοιχεία της συνοδευτικής τεκμηρίωσής της υποβάλλονται με ευθύνη του συντάκτη της ΥΔΕ στο «Ενιαίο Μητρώο Ηλεκτρικών Εγκαταστάσεων» του </w:t>
      </w:r>
      <w:hyperlink r:id="rId10" w:anchor="!/?article=11&amp;bn=1" w:tooltip="Άρθρο 11 - Ν. 3982/2011 (ΦΕΚ Α 143/17-6-2011) Απλοποίηση της αδειοδότησης τεχνικών επαγγελματικών και μεταποιητικών δραστηριοτήτων και επιχειρηματικών πάρκων και άλλες διατάξεις." w:history="1">
        <w:r w:rsidRPr="004B061D">
          <w:rPr>
            <w:rFonts w:ascii="Helvetica" w:eastAsia="Times New Roman" w:hAnsi="Helvetica" w:cs="Times New Roman"/>
            <w:color w:val="D72B39"/>
            <w:sz w:val="24"/>
            <w:szCs w:val="24"/>
            <w:lang w:eastAsia="el-GR"/>
          </w:rPr>
          <w:t>άρθρου 11 του ν. 3982/2011</w:t>
        </w:r>
      </w:hyperlink>
      <w:r w:rsidRPr="004B061D">
        <w:rPr>
          <w:rFonts w:ascii="Helvetica" w:eastAsia="Times New Roman" w:hAnsi="Helvetica" w:cs="Times New Roman"/>
          <w:color w:val="373A3C"/>
          <w:sz w:val="24"/>
          <w:szCs w:val="24"/>
          <w:lang w:eastAsia="el-GR"/>
        </w:rPr>
        <w:t> (Α’ 143).</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8.</w:t>
      </w:r>
      <w:r w:rsidRPr="004B061D">
        <w:rPr>
          <w:rFonts w:ascii="Helvetica" w:eastAsia="Times New Roman" w:hAnsi="Helvetica" w:cs="Times New Roman"/>
          <w:color w:val="373A3C"/>
          <w:sz w:val="24"/>
          <w:szCs w:val="24"/>
          <w:lang w:eastAsia="el-GR"/>
        </w:rPr>
        <w:t> Ο Διαχειριστής του ΕΔΔΗΕ μπορεί να αρνηθεί την ηλεκτροδότηση ή την επανασύνδεση της εγκατάστασης σε αυτό, ή να προβεί σε διακοπή της ηλεκτροδότησής της, μέχρι να υποβληθεί ΥΔΕ σύμφωνα με τις διατάξεις της κείμενης νομοθεσίας.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9.</w:t>
      </w:r>
      <w:r w:rsidRPr="004B061D">
        <w:rPr>
          <w:rFonts w:ascii="Helvetica" w:eastAsia="Times New Roman" w:hAnsi="Helvetica" w:cs="Times New Roman"/>
          <w:color w:val="373A3C"/>
          <w:sz w:val="24"/>
          <w:szCs w:val="24"/>
          <w:lang w:eastAsia="el-GR"/>
        </w:rPr>
        <w:t> Οι διατάξεις της παρούσας απόφασης δεν επηρεάζουν την εφαρμογή των διατάξεων της παρ. 1 του άρθρου 6 του ν. 4483/1965 (Α’ 118).</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Άρθρο 5</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Εγκαταστάσεις μέσης και υψηλής τάσης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1.</w:t>
      </w:r>
      <w:r w:rsidRPr="004B061D">
        <w:rPr>
          <w:rFonts w:ascii="Helvetica" w:eastAsia="Times New Roman" w:hAnsi="Helvetica" w:cs="Times New Roman"/>
          <w:color w:val="373A3C"/>
          <w:sz w:val="24"/>
          <w:szCs w:val="24"/>
          <w:lang w:eastAsia="el-GR"/>
        </w:rPr>
        <w:t> Ηλεκτρικές εγκαταστάσεις μέσης και υψηλής τάσης δεν εμπίπτουν στο πλαίσιο των απαιτήσεων ασφάλειας και ελέγχου των άρθρων 3 και 4 της παρούσας απόφασης.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2.</w:t>
      </w:r>
      <w:r w:rsidRPr="004B061D">
        <w:rPr>
          <w:rFonts w:ascii="Helvetica" w:eastAsia="Times New Roman" w:hAnsi="Helvetica" w:cs="Times New Roman"/>
          <w:color w:val="373A3C"/>
          <w:sz w:val="24"/>
          <w:szCs w:val="24"/>
          <w:lang w:eastAsia="el-GR"/>
        </w:rPr>
        <w:t> Για τη διασύνδεση ιδιωτικών υποσταθμών, εγκαταστάσεων και κινητήρων Μέσης Τάσης (ΜΤ) με το ΕΔΔΗΕ, συντάσσεται Υπεύθυνη Δήλωση από τους έχοντες το νόμιμο δικαίωμα, με την οποία βεβαιώνεται ότι η εγκατάσταση ΜΤ που υλοποίησαν, εκτελέστηκε και ελέγχθηκε σύμφωνα με τις τεχνικές απαιτήσεις και προδιαγραφές που καθορίζει ο Διαχειριστής του Δικτύου Διανομής της Ηλεκτρικής Ενέργειας.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3.</w:t>
      </w:r>
      <w:r w:rsidRPr="004B061D">
        <w:rPr>
          <w:rFonts w:ascii="Helvetica" w:eastAsia="Times New Roman" w:hAnsi="Helvetica" w:cs="Times New Roman"/>
          <w:color w:val="373A3C"/>
          <w:sz w:val="24"/>
          <w:szCs w:val="24"/>
          <w:lang w:eastAsia="el-GR"/>
        </w:rPr>
        <w:t> Η παραπάνω Υπεύθυνη Δήλωση υποβάλλεται, με ευθύνη του συντάκτη της, στο «Ενιαίο Μητρώο Ηλεκτρικών Εγκαταστάσεων» του </w:t>
      </w:r>
      <w:hyperlink r:id="rId11" w:anchor="!/?article=11&amp;bn=1" w:tooltip="Άρθρο 11 - Ν. 3982/2011 (ΦΕΚ Α 143/17-6-2011) Απλοποίηση της αδειοδότησης τεχνικών επαγγελματικών και μεταποιητικών δραστηριοτήτων και επιχειρηματικών πάρκων και άλλες διατάξεις." w:history="1">
        <w:r w:rsidRPr="004B061D">
          <w:rPr>
            <w:rFonts w:ascii="Helvetica" w:eastAsia="Times New Roman" w:hAnsi="Helvetica" w:cs="Times New Roman"/>
            <w:color w:val="D72B39"/>
            <w:sz w:val="24"/>
            <w:szCs w:val="24"/>
            <w:lang w:eastAsia="el-GR"/>
          </w:rPr>
          <w:t>άρθρου 11 του ν. 3982/2011</w:t>
        </w:r>
      </w:hyperlink>
      <w:r w:rsidRPr="004B061D">
        <w:rPr>
          <w:rFonts w:ascii="Helvetica" w:eastAsia="Times New Roman" w:hAnsi="Helvetica" w:cs="Times New Roman"/>
          <w:color w:val="373A3C"/>
          <w:sz w:val="24"/>
          <w:szCs w:val="24"/>
          <w:lang w:eastAsia="el-GR"/>
        </w:rPr>
        <w:t>.</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4.</w:t>
      </w:r>
      <w:r w:rsidRPr="004B061D">
        <w:rPr>
          <w:rFonts w:ascii="Helvetica" w:eastAsia="Times New Roman" w:hAnsi="Helvetica" w:cs="Times New Roman"/>
          <w:color w:val="373A3C"/>
          <w:sz w:val="24"/>
          <w:szCs w:val="24"/>
          <w:lang w:eastAsia="el-GR"/>
        </w:rPr>
        <w:t> Για τις ηλεκτρικές εγκαταστάσεις χαμηλής τάσης που τροφοδοτούνται μέσω ιδιωτικών υποσταθμών της παραπάνω παρ. 2, ισχύουν τα προβλεπόμενα στην παρούσα απόφαση.</w:t>
      </w:r>
    </w:p>
    <w:p w:rsidR="004B061D" w:rsidRPr="00A80E80" w:rsidRDefault="004B061D" w:rsidP="004B061D">
      <w:pPr>
        <w:shd w:val="clear" w:color="auto" w:fill="FFFFFF"/>
        <w:spacing w:after="100" w:afterAutospacing="1" w:line="240" w:lineRule="auto"/>
        <w:rPr>
          <w:rFonts w:ascii="Helvetica" w:eastAsia="Times New Roman" w:hAnsi="Helvetica" w:cs="Times New Roman"/>
          <w:color w:val="373A3C"/>
          <w:sz w:val="32"/>
          <w:szCs w:val="32"/>
          <w:highlight w:val="red"/>
          <w:lang w:eastAsia="el-GR"/>
        </w:rPr>
      </w:pPr>
      <w:r w:rsidRPr="00A80E80">
        <w:rPr>
          <w:rFonts w:ascii="Helvetica" w:eastAsia="Times New Roman" w:hAnsi="Helvetica" w:cs="Times New Roman"/>
          <w:b/>
          <w:bCs/>
          <w:color w:val="373A3C"/>
          <w:sz w:val="32"/>
          <w:szCs w:val="32"/>
          <w:highlight w:val="red"/>
          <w:lang w:eastAsia="el-GR"/>
        </w:rPr>
        <w:t>Άρθρο 6</w:t>
      </w:r>
    </w:p>
    <w:p w:rsidR="004B061D" w:rsidRPr="00A80E80" w:rsidRDefault="004B061D" w:rsidP="004B061D">
      <w:pPr>
        <w:shd w:val="clear" w:color="auto" w:fill="FFFFFF"/>
        <w:spacing w:after="100" w:afterAutospacing="1" w:line="240" w:lineRule="auto"/>
        <w:rPr>
          <w:rFonts w:ascii="Helvetica" w:eastAsia="Times New Roman" w:hAnsi="Helvetica" w:cs="Times New Roman"/>
          <w:color w:val="373A3C"/>
          <w:sz w:val="32"/>
          <w:szCs w:val="32"/>
          <w:lang w:eastAsia="el-GR"/>
        </w:rPr>
      </w:pPr>
      <w:r w:rsidRPr="00A80E80">
        <w:rPr>
          <w:rFonts w:ascii="Helvetica" w:eastAsia="Times New Roman" w:hAnsi="Helvetica" w:cs="Times New Roman"/>
          <w:b/>
          <w:bCs/>
          <w:color w:val="373A3C"/>
          <w:sz w:val="32"/>
          <w:szCs w:val="32"/>
          <w:highlight w:val="red"/>
          <w:lang w:eastAsia="el-GR"/>
        </w:rPr>
        <w:t>Μεταβατικές, καταργούμενες και λοιπές διατάξεις</w:t>
      </w:r>
    </w:p>
    <w:p w:rsidR="004B061D" w:rsidRPr="00A80E80" w:rsidRDefault="004B061D" w:rsidP="004B061D">
      <w:pPr>
        <w:shd w:val="clear" w:color="auto" w:fill="FFFFFF"/>
        <w:spacing w:after="100" w:afterAutospacing="1" w:line="240" w:lineRule="auto"/>
        <w:rPr>
          <w:rFonts w:ascii="Helvetica" w:eastAsia="Times New Roman" w:hAnsi="Helvetica" w:cs="Times New Roman"/>
          <w:b/>
          <w:color w:val="373A3C"/>
          <w:sz w:val="28"/>
          <w:szCs w:val="28"/>
          <w:lang w:eastAsia="el-GR"/>
        </w:rPr>
      </w:pPr>
      <w:r w:rsidRPr="00A80E80">
        <w:rPr>
          <w:rFonts w:ascii="Helvetica" w:eastAsia="Times New Roman" w:hAnsi="Helvetica" w:cs="Times New Roman"/>
          <w:b/>
          <w:bCs/>
          <w:color w:val="373A3C"/>
          <w:sz w:val="28"/>
          <w:szCs w:val="28"/>
          <w:highlight w:val="yellow"/>
          <w:lang w:eastAsia="el-GR"/>
        </w:rPr>
        <w:lastRenderedPageBreak/>
        <w:t>1.</w:t>
      </w:r>
      <w:r w:rsidRPr="00A80E80">
        <w:rPr>
          <w:rFonts w:ascii="Helvetica" w:eastAsia="Times New Roman" w:hAnsi="Helvetica" w:cs="Times New Roman"/>
          <w:b/>
          <w:color w:val="373A3C"/>
          <w:sz w:val="28"/>
          <w:szCs w:val="28"/>
          <w:highlight w:val="yellow"/>
          <w:lang w:eastAsia="el-GR"/>
        </w:rPr>
        <w:t> Για τις ΥΔΕ που έχουν υποβληθεί πριν την έναρξη ισχύος της παρούσας απόφασης, ισχύουν τα προβλεπόμενα κατά την έκδοσή τους χρονικά διαστήματα επανελέγχου, με την προϋπόθεση ότι δεν έχει προκύψει απαίτηση διενέργειας έκτακτου επανελέγχου.</w:t>
      </w:r>
    </w:p>
    <w:p w:rsidR="004B061D" w:rsidRPr="004B061D" w:rsidRDefault="004B061D" w:rsidP="004B061D">
      <w:pPr>
        <w:shd w:val="clear" w:color="auto" w:fill="FFFFFF"/>
        <w:spacing w:after="100" w:afterAutospacing="1" w:line="240" w:lineRule="auto"/>
        <w:rPr>
          <w:rFonts w:ascii="Helvetica" w:eastAsia="Times New Roman" w:hAnsi="Helvetica" w:cs="Times New Roman"/>
          <w:b/>
          <w:color w:val="373A3C"/>
          <w:sz w:val="28"/>
          <w:szCs w:val="28"/>
          <w:lang w:eastAsia="el-GR"/>
        </w:rPr>
      </w:pPr>
      <w:r w:rsidRPr="004B061D">
        <w:rPr>
          <w:rFonts w:ascii="Helvetica" w:eastAsia="Times New Roman" w:hAnsi="Helvetica" w:cs="Times New Roman"/>
          <w:b/>
          <w:bCs/>
          <w:color w:val="373A3C"/>
          <w:sz w:val="28"/>
          <w:szCs w:val="28"/>
          <w:highlight w:val="yellow"/>
          <w:lang w:eastAsia="el-GR"/>
        </w:rPr>
        <w:t>2.</w:t>
      </w:r>
      <w:r w:rsidRPr="004B061D">
        <w:rPr>
          <w:rFonts w:ascii="Helvetica" w:eastAsia="Times New Roman" w:hAnsi="Helvetica" w:cs="Times New Roman"/>
          <w:b/>
          <w:color w:val="373A3C"/>
          <w:sz w:val="28"/>
          <w:szCs w:val="28"/>
          <w:highlight w:val="yellow"/>
          <w:lang w:eastAsia="el-GR"/>
        </w:rPr>
        <w:t> ΥΔΕ που έχουν εκδοθεί έως και εννέα (9) μήνες πριν την έναρξη ισχύος της παρούσας απόφασης και δεν έχουν υποβληθεί, μπορούν να υποβληθούν εντός τριών (3) μηνών από την έναρξη ισχύος της παρούσας απόφασης. Για τις ΥΔΕ αυτές ισχύουν τα προβλεπόμενα κατά την έκδοσή τους χρονικά διαστήματα επανελέγχου, με την προϋπόθεση ότι δεν έχει προκύψει απαίτηση διενέργειας έκτακτου επανελέγχου</w:t>
      </w:r>
      <w:r w:rsidRPr="004B061D">
        <w:rPr>
          <w:rFonts w:ascii="Helvetica" w:eastAsia="Times New Roman" w:hAnsi="Helvetica" w:cs="Times New Roman"/>
          <w:color w:val="373A3C"/>
          <w:sz w:val="28"/>
          <w:szCs w:val="28"/>
          <w:highlight w:val="yellow"/>
          <w:lang w:eastAsia="el-GR"/>
        </w:rPr>
        <w:t>.</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3.</w:t>
      </w:r>
      <w:r w:rsidRPr="004B061D">
        <w:rPr>
          <w:rFonts w:ascii="Helvetica" w:eastAsia="Times New Roman" w:hAnsi="Helvetica" w:cs="Times New Roman"/>
          <w:color w:val="373A3C"/>
          <w:sz w:val="24"/>
          <w:szCs w:val="24"/>
          <w:lang w:eastAsia="el-GR"/>
        </w:rPr>
        <w:t xml:space="preserve"> Μέχρι την έναρξη λειτουργίας του «Ενιαίου Μητρώου Ηλεκτρικών Εγκαταστάσεων», οι ΥΔΕ με τη συνοδευτική τους τεκμηρίωση καθώς και οι Υπεύθυνες Δηλώσεις της παρ. 2 του άρθρου 5, </w:t>
      </w:r>
      <w:r w:rsidRPr="004B061D">
        <w:rPr>
          <w:rFonts w:ascii="Helvetica" w:eastAsia="Times New Roman" w:hAnsi="Helvetica" w:cs="Times New Roman"/>
          <w:b/>
          <w:color w:val="373A3C"/>
          <w:sz w:val="28"/>
          <w:szCs w:val="28"/>
          <w:highlight w:val="yellow"/>
          <w:lang w:eastAsia="el-GR"/>
        </w:rPr>
        <w:t>εξακολουθούν να υποβάλλονται στον Διαχειριστή του ΕΔΔΗΕ εντός τριάντα (30) ημερών από την έκδοσή τους,</w:t>
      </w:r>
      <w:r w:rsidRPr="004B061D">
        <w:rPr>
          <w:rFonts w:ascii="Helvetica" w:eastAsia="Times New Roman" w:hAnsi="Helvetica" w:cs="Times New Roman"/>
          <w:color w:val="373A3C"/>
          <w:sz w:val="24"/>
          <w:szCs w:val="24"/>
          <w:lang w:eastAsia="el-GR"/>
        </w:rPr>
        <w:t xml:space="preserve"> με την επιφύλαξη της παρ. 6 του άρθρου 4 ως προς το χρόνο υποβολής τους. Αντίγραφο των ΥΔΕ και της συνοδευτικής τους τεκμηρίωσης τηρείται από τον ιδιοκτήτη και τον καταναλωτή της ΕΗΕ καθώς και από τον συντάκτη τους, τουλάχιστον μέχρι την υποβολή της επόμενης ΥΔΕ.</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4.</w:t>
      </w:r>
      <w:r w:rsidRPr="004B061D">
        <w:rPr>
          <w:rFonts w:ascii="Helvetica" w:eastAsia="Times New Roman" w:hAnsi="Helvetica" w:cs="Times New Roman"/>
          <w:color w:val="373A3C"/>
          <w:sz w:val="24"/>
          <w:szCs w:val="24"/>
          <w:lang w:eastAsia="el-GR"/>
        </w:rPr>
        <w:t> Μέχρι την έναρξη λειτουργίας του «Ενιαίου Μητρώου Ηλεκτρικών Εγκαταστάσεων», οι ΥΔΕ με τη συνοδευτική τους τεκμηρίωση, που αφορούν σε ΕΗΕ που δεν τροφοδοτούν και δεν τροφοδοτούνται από το ΕΔΔΗΕ, τηρούνται από τον ιδιοκτήτη και τον καταναλωτή καθώς και από τον συντάκτη τους.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Cs/>
          <w:color w:val="373A3C"/>
          <w:sz w:val="24"/>
          <w:szCs w:val="24"/>
          <w:highlight w:val="yellow"/>
          <w:lang w:eastAsia="el-GR"/>
        </w:rPr>
        <w:t>5.</w:t>
      </w:r>
      <w:r w:rsidRPr="004B061D">
        <w:rPr>
          <w:rFonts w:ascii="Helvetica" w:eastAsia="Times New Roman" w:hAnsi="Helvetica" w:cs="Times New Roman"/>
          <w:color w:val="373A3C"/>
          <w:sz w:val="24"/>
          <w:szCs w:val="24"/>
          <w:highlight w:val="yellow"/>
          <w:lang w:eastAsia="el-GR"/>
        </w:rPr>
        <w:t> Για χρονικό διάστημα δέκα οκτώ (18) μηνών από την έναρξη ισχύος της παρούσας απόφασης, δύναται να εφαρμόζονται και οι διατάξεις της παρ. 1 του άρθρου 1 και των άρθρων 3 και 4, της υπουργικής απόφασης υπό στοιχεία Φ.7.5/1816/88/2004 (Β’ 470) και, συνακόλουθα, να διενεργείται ο αρχικός έλεγχος βάσει των διατάξεων αυτών.</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6.</w:t>
      </w:r>
      <w:r w:rsidRPr="004B061D">
        <w:rPr>
          <w:rFonts w:ascii="Helvetica" w:eastAsia="Times New Roman" w:hAnsi="Helvetica" w:cs="Times New Roman"/>
          <w:color w:val="373A3C"/>
          <w:sz w:val="24"/>
          <w:szCs w:val="24"/>
          <w:lang w:eastAsia="el-GR"/>
        </w:rPr>
        <w:t> Για τις εγκαταστάσεις φόρτισης ηλεκτρικών οχημάτων ισχύουν τα αναφερόμενα στον </w:t>
      </w:r>
      <w:hyperlink r:id="rId12" w:tooltip="Ν. 4710/2020 (ΦΕΚ A 142 - 23.07.2020) Προώθηση της ηλεκτροκίνησης και άλλες διατάξεις." w:history="1">
        <w:r w:rsidRPr="004B061D">
          <w:rPr>
            <w:rFonts w:ascii="Helvetica" w:eastAsia="Times New Roman" w:hAnsi="Helvetica" w:cs="Times New Roman"/>
            <w:color w:val="D72B39"/>
            <w:sz w:val="24"/>
            <w:szCs w:val="24"/>
            <w:lang w:eastAsia="el-GR"/>
          </w:rPr>
          <w:t>ν. 4710/2020</w:t>
        </w:r>
      </w:hyperlink>
      <w:r w:rsidRPr="004B061D">
        <w:rPr>
          <w:rFonts w:ascii="Helvetica" w:eastAsia="Times New Roman" w:hAnsi="Helvetica" w:cs="Times New Roman"/>
          <w:color w:val="373A3C"/>
          <w:sz w:val="24"/>
          <w:szCs w:val="24"/>
          <w:lang w:eastAsia="el-GR"/>
        </w:rPr>
        <w:t> (Α’ 142), ιδιαίτερα στα άρθρα 22, 24, 27 και 65.</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7.</w:t>
      </w:r>
      <w:r w:rsidRPr="004B061D">
        <w:rPr>
          <w:rFonts w:ascii="Helvetica" w:eastAsia="Times New Roman" w:hAnsi="Helvetica" w:cs="Times New Roman"/>
          <w:color w:val="373A3C"/>
          <w:sz w:val="24"/>
          <w:szCs w:val="24"/>
          <w:lang w:eastAsia="el-GR"/>
        </w:rPr>
        <w:t> Με την έκδοση της παρούσας απόφασης, καταργούνται οι διατάξεις της υπουργικής απόφασης υπό στοιχεία Φ.7.5/1816/88/2004, εκτός αυτών της παρ. 1 του άρθρου 1, και των άρθρων 3 και 4, οι οποίες καταργούνται δέκα οκτώ (18) μήνες μετά την έναρξη ισχύος της παρούσας απόφασης.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lastRenderedPageBreak/>
        <w:t>8.</w:t>
      </w:r>
      <w:r w:rsidRPr="004B061D">
        <w:rPr>
          <w:rFonts w:ascii="Helvetica" w:eastAsia="Times New Roman" w:hAnsi="Helvetica" w:cs="Times New Roman"/>
          <w:color w:val="373A3C"/>
          <w:sz w:val="24"/>
          <w:szCs w:val="24"/>
          <w:lang w:eastAsia="el-GR"/>
        </w:rPr>
        <w:t> Με την έκδοση της παρούσας απόφασης παύουν να ισχύουν οι διατάξεις της υπουργικής απόφασης υπό στοιχεία Φ.50/503/168/2011 (Β’ 844).</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Άρθρο 7</w:t>
      </w:r>
    </w:p>
    <w:p w:rsidR="004B061D" w:rsidRPr="004B061D" w:rsidRDefault="004B061D" w:rsidP="004B061D">
      <w:pPr>
        <w:shd w:val="clear" w:color="auto" w:fill="FFFFFF"/>
        <w:spacing w:after="100" w:afterAutospacing="1" w:line="240" w:lineRule="auto"/>
        <w:rPr>
          <w:rFonts w:ascii="Helvetica" w:eastAsia="Times New Roman" w:hAnsi="Helvetica" w:cs="Times New Roman"/>
          <w:b/>
          <w:color w:val="373A3C"/>
          <w:sz w:val="28"/>
          <w:szCs w:val="28"/>
          <w:lang w:eastAsia="el-GR"/>
        </w:rPr>
      </w:pPr>
      <w:r w:rsidRPr="004B061D">
        <w:rPr>
          <w:rFonts w:ascii="Helvetica" w:eastAsia="Times New Roman" w:hAnsi="Helvetica" w:cs="Times New Roman"/>
          <w:b/>
          <w:bCs/>
          <w:color w:val="373A3C"/>
          <w:sz w:val="28"/>
          <w:szCs w:val="28"/>
          <w:lang w:eastAsia="el-GR"/>
        </w:rPr>
        <w:t>Τελικές διατάξεις</w:t>
      </w:r>
    </w:p>
    <w:p w:rsidR="004B061D" w:rsidRPr="004B061D" w:rsidRDefault="004B061D" w:rsidP="004B061D">
      <w:pPr>
        <w:shd w:val="clear" w:color="auto" w:fill="FFFFFF"/>
        <w:spacing w:after="100" w:afterAutospacing="1" w:line="240" w:lineRule="auto"/>
        <w:rPr>
          <w:rFonts w:ascii="Helvetica" w:eastAsia="Times New Roman" w:hAnsi="Helvetica" w:cs="Times New Roman"/>
          <w:b/>
          <w:color w:val="373A3C"/>
          <w:sz w:val="28"/>
          <w:szCs w:val="28"/>
          <w:lang w:eastAsia="el-GR"/>
        </w:rPr>
      </w:pPr>
      <w:r w:rsidRPr="004B061D">
        <w:rPr>
          <w:rFonts w:ascii="Helvetica" w:eastAsia="Times New Roman" w:hAnsi="Helvetica" w:cs="Times New Roman"/>
          <w:b/>
          <w:bCs/>
          <w:color w:val="373A3C"/>
          <w:sz w:val="28"/>
          <w:szCs w:val="28"/>
          <w:lang w:eastAsia="el-GR"/>
        </w:rPr>
        <w:t>1.</w:t>
      </w:r>
      <w:r w:rsidRPr="004B061D">
        <w:rPr>
          <w:rFonts w:ascii="Helvetica" w:eastAsia="Times New Roman" w:hAnsi="Helvetica" w:cs="Times New Roman"/>
          <w:b/>
          <w:color w:val="373A3C"/>
          <w:sz w:val="28"/>
          <w:szCs w:val="28"/>
          <w:lang w:eastAsia="el-GR"/>
        </w:rPr>
        <w:t> Η ισχύς της παρούσας αρχίζει από τη δημοσίευσή της στην Εφημερίδα της Κυβερνήσεως.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b/>
          <w:bCs/>
          <w:color w:val="373A3C"/>
          <w:sz w:val="24"/>
          <w:szCs w:val="24"/>
          <w:lang w:eastAsia="el-GR"/>
        </w:rPr>
        <w:t>2.</w:t>
      </w:r>
      <w:r w:rsidRPr="004B061D">
        <w:rPr>
          <w:rFonts w:ascii="Helvetica" w:eastAsia="Times New Roman" w:hAnsi="Helvetica" w:cs="Times New Roman"/>
          <w:color w:val="373A3C"/>
          <w:sz w:val="24"/>
          <w:szCs w:val="24"/>
          <w:lang w:eastAsia="el-GR"/>
        </w:rPr>
        <w:t> Τα Παραρτήματα Ι και ΙΙ, αποτελούν αναπόσπαστο τμήμα της παρούσας απόφασης.</w:t>
      </w:r>
    </w:p>
    <w:p w:rsidR="004B061D" w:rsidRPr="004B061D" w:rsidRDefault="004B061D" w:rsidP="004B061D">
      <w:pPr>
        <w:shd w:val="clear" w:color="auto" w:fill="FFFFFF"/>
        <w:spacing w:after="100" w:afterAutospacing="1" w:line="240" w:lineRule="auto"/>
        <w:rPr>
          <w:rFonts w:ascii="Helvetica" w:eastAsia="Times New Roman" w:hAnsi="Helvetica" w:cs="Times New Roman"/>
          <w:color w:val="373A3C"/>
          <w:sz w:val="24"/>
          <w:szCs w:val="24"/>
          <w:lang w:eastAsia="el-GR"/>
        </w:rPr>
      </w:pPr>
      <w:r w:rsidRPr="004B061D">
        <w:rPr>
          <w:rFonts w:ascii="Helvetica" w:eastAsia="Times New Roman" w:hAnsi="Helvetica" w:cs="Times New Roman"/>
          <w:color w:val="373A3C"/>
          <w:sz w:val="24"/>
          <w:szCs w:val="24"/>
          <w:lang w:eastAsia="el-GR"/>
        </w:rPr>
        <w:t>Η απόφαση αυτή να δημοσιευθεί στην Εφημερίδα της Κυβερνήσεως.</w:t>
      </w:r>
    </w:p>
    <w:p w:rsidR="004B061D" w:rsidRPr="004B061D" w:rsidRDefault="004B061D" w:rsidP="004B061D">
      <w:pPr>
        <w:shd w:val="clear" w:color="auto" w:fill="FFFFFF"/>
        <w:spacing w:after="100" w:afterAutospacing="1" w:line="240" w:lineRule="auto"/>
        <w:rPr>
          <w:rFonts w:ascii="Helvetica" w:eastAsia="Times New Roman" w:hAnsi="Helvetica" w:cs="Times New Roman"/>
          <w:b/>
          <w:color w:val="373A3C"/>
          <w:sz w:val="24"/>
          <w:szCs w:val="24"/>
          <w:lang w:eastAsia="el-GR"/>
        </w:rPr>
      </w:pPr>
      <w:r w:rsidRPr="004B061D">
        <w:rPr>
          <w:rFonts w:ascii="Helvetica" w:eastAsia="Times New Roman" w:hAnsi="Helvetica" w:cs="Times New Roman"/>
          <w:b/>
          <w:color w:val="373A3C"/>
          <w:sz w:val="24"/>
          <w:szCs w:val="24"/>
          <w:lang w:eastAsia="el-GR"/>
        </w:rPr>
        <w:t>Αθήνα, 17 Σεπτεμβρίου 2021</w:t>
      </w:r>
    </w:p>
    <w:p w:rsidR="004B061D" w:rsidRPr="004B061D" w:rsidRDefault="004B061D" w:rsidP="004B061D">
      <w:pPr>
        <w:shd w:val="clear" w:color="auto" w:fill="FFFFFF"/>
        <w:spacing w:after="100" w:afterAutospacing="1" w:line="240" w:lineRule="auto"/>
        <w:rPr>
          <w:rFonts w:ascii="Helvetica" w:eastAsia="Times New Roman" w:hAnsi="Helvetica" w:cs="Times New Roman"/>
          <w:b/>
          <w:color w:val="373A3C"/>
          <w:sz w:val="24"/>
          <w:szCs w:val="24"/>
          <w:lang w:eastAsia="el-GR"/>
        </w:rPr>
      </w:pPr>
      <w:r w:rsidRPr="004B061D">
        <w:rPr>
          <w:rFonts w:ascii="Helvetica" w:eastAsia="Times New Roman" w:hAnsi="Helvetica" w:cs="Times New Roman"/>
          <w:b/>
          <w:color w:val="373A3C"/>
          <w:sz w:val="24"/>
          <w:szCs w:val="24"/>
          <w:lang w:eastAsia="el-GR"/>
        </w:rPr>
        <w:t>Ο Υπουργός</w:t>
      </w:r>
    </w:p>
    <w:p w:rsidR="004B061D" w:rsidRPr="004B061D" w:rsidRDefault="004B061D" w:rsidP="004B061D">
      <w:pPr>
        <w:shd w:val="clear" w:color="auto" w:fill="FFFFFF"/>
        <w:spacing w:after="100" w:afterAutospacing="1" w:line="240" w:lineRule="auto"/>
        <w:rPr>
          <w:rFonts w:ascii="Helvetica" w:eastAsia="Times New Roman" w:hAnsi="Helvetica" w:cs="Times New Roman"/>
          <w:b/>
          <w:color w:val="373A3C"/>
          <w:sz w:val="24"/>
          <w:szCs w:val="24"/>
          <w:lang w:eastAsia="el-GR"/>
        </w:rPr>
      </w:pPr>
      <w:r w:rsidRPr="004B061D">
        <w:rPr>
          <w:rFonts w:ascii="Helvetica" w:eastAsia="Times New Roman" w:hAnsi="Helvetica" w:cs="Times New Roman"/>
          <w:b/>
          <w:color w:val="373A3C"/>
          <w:sz w:val="24"/>
          <w:szCs w:val="24"/>
          <w:lang w:eastAsia="el-GR"/>
        </w:rPr>
        <w:t>ΣΠΥΡΙΔΩΝ - ΑΔΩΝΙΣ ΓΕΩΡΓΙΑΔΗΣ</w:t>
      </w:r>
    </w:p>
    <w:p w:rsidR="004B061D" w:rsidRPr="004B061D" w:rsidRDefault="004B061D">
      <w:pPr>
        <w:rPr>
          <w:b/>
          <w:sz w:val="28"/>
          <w:szCs w:val="28"/>
        </w:rPr>
      </w:pPr>
    </w:p>
    <w:sectPr w:rsidR="004B061D" w:rsidRPr="004B06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301EA"/>
    <w:multiLevelType w:val="multilevel"/>
    <w:tmpl w:val="41C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1407D"/>
    <w:multiLevelType w:val="multilevel"/>
    <w:tmpl w:val="9FA4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4D"/>
    <w:rsid w:val="0009327C"/>
    <w:rsid w:val="004B061D"/>
    <w:rsid w:val="00A80E80"/>
    <w:rsid w:val="00C2714D"/>
    <w:rsid w:val="00E52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B742F-D39E-4620-8027-05BAF2C7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80545">
      <w:bodyDiv w:val="1"/>
      <w:marLeft w:val="0"/>
      <w:marRight w:val="0"/>
      <w:marTop w:val="0"/>
      <w:marBottom w:val="0"/>
      <w:divBdr>
        <w:top w:val="none" w:sz="0" w:space="0" w:color="auto"/>
        <w:left w:val="none" w:sz="0" w:space="0" w:color="auto"/>
        <w:bottom w:val="none" w:sz="0" w:space="0" w:color="auto"/>
        <w:right w:val="none" w:sz="0" w:space="0" w:color="auto"/>
      </w:divBdr>
      <w:divsChild>
        <w:div w:id="1675844246">
          <w:marLeft w:val="0"/>
          <w:marRight w:val="0"/>
          <w:marTop w:val="0"/>
          <w:marBottom w:val="0"/>
          <w:divBdr>
            <w:top w:val="none" w:sz="0" w:space="0" w:color="auto"/>
            <w:left w:val="none" w:sz="0" w:space="0" w:color="auto"/>
            <w:bottom w:val="none" w:sz="0" w:space="0" w:color="auto"/>
            <w:right w:val="none" w:sz="0" w:space="0" w:color="auto"/>
          </w:divBdr>
          <w:divsChild>
            <w:div w:id="409739919">
              <w:marLeft w:val="0"/>
              <w:marRight w:val="0"/>
              <w:marTop w:val="0"/>
              <w:marBottom w:val="180"/>
              <w:divBdr>
                <w:top w:val="none" w:sz="0" w:space="0" w:color="auto"/>
                <w:left w:val="none" w:sz="0" w:space="0" w:color="auto"/>
                <w:bottom w:val="none" w:sz="0" w:space="0" w:color="auto"/>
                <w:right w:val="none" w:sz="0" w:space="0" w:color="auto"/>
              </w:divBdr>
              <w:divsChild>
                <w:div w:id="1135294532">
                  <w:marLeft w:val="0"/>
                  <w:marRight w:val="0"/>
                  <w:marTop w:val="0"/>
                  <w:marBottom w:val="0"/>
                  <w:divBdr>
                    <w:top w:val="none" w:sz="0" w:space="0" w:color="auto"/>
                    <w:left w:val="none" w:sz="0" w:space="0" w:color="auto"/>
                    <w:bottom w:val="none" w:sz="0" w:space="0" w:color="auto"/>
                    <w:right w:val="none" w:sz="0" w:space="0" w:color="auto"/>
                  </w:divBdr>
                  <w:divsChild>
                    <w:div w:id="137118339">
                      <w:marLeft w:val="0"/>
                      <w:marRight w:val="0"/>
                      <w:marTop w:val="0"/>
                      <w:marBottom w:val="0"/>
                      <w:divBdr>
                        <w:top w:val="none" w:sz="0" w:space="0" w:color="auto"/>
                        <w:left w:val="none" w:sz="0" w:space="0" w:color="auto"/>
                        <w:bottom w:val="none" w:sz="0" w:space="0" w:color="auto"/>
                        <w:right w:val="none" w:sz="0" w:space="0" w:color="auto"/>
                      </w:divBdr>
                      <w:divsChild>
                        <w:div w:id="614141314">
                          <w:marLeft w:val="0"/>
                          <w:marRight w:val="0"/>
                          <w:marTop w:val="75"/>
                          <w:marBottom w:val="75"/>
                          <w:divBdr>
                            <w:top w:val="none" w:sz="0" w:space="0" w:color="auto"/>
                            <w:left w:val="none" w:sz="0" w:space="0" w:color="auto"/>
                            <w:bottom w:val="none" w:sz="0" w:space="0" w:color="auto"/>
                            <w:right w:val="none" w:sz="0" w:space="0" w:color="auto"/>
                          </w:divBdr>
                        </w:div>
                        <w:div w:id="8515307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1066738">
          <w:marLeft w:val="0"/>
          <w:marRight w:val="0"/>
          <w:marTop w:val="0"/>
          <w:marBottom w:val="0"/>
          <w:divBdr>
            <w:top w:val="none" w:sz="0" w:space="0" w:color="auto"/>
            <w:left w:val="none" w:sz="0" w:space="0" w:color="auto"/>
            <w:bottom w:val="none" w:sz="0" w:space="0" w:color="auto"/>
            <w:right w:val="none" w:sz="0" w:space="0" w:color="auto"/>
          </w:divBdr>
          <w:divsChild>
            <w:div w:id="1460490082">
              <w:marLeft w:val="0"/>
              <w:marRight w:val="0"/>
              <w:marTop w:val="0"/>
              <w:marBottom w:val="0"/>
              <w:divBdr>
                <w:top w:val="none" w:sz="0" w:space="0" w:color="auto"/>
                <w:left w:val="none" w:sz="0" w:space="0" w:color="auto"/>
                <w:bottom w:val="none" w:sz="0" w:space="0" w:color="auto"/>
                <w:right w:val="none" w:sz="0" w:space="0" w:color="auto"/>
              </w:divBdr>
              <w:divsChild>
                <w:div w:id="1742210361">
                  <w:marLeft w:val="0"/>
                  <w:marRight w:val="0"/>
                  <w:marTop w:val="0"/>
                  <w:marBottom w:val="0"/>
                  <w:divBdr>
                    <w:top w:val="none" w:sz="0" w:space="0" w:color="auto"/>
                    <w:left w:val="none" w:sz="0" w:space="0" w:color="auto"/>
                    <w:bottom w:val="none" w:sz="0" w:space="0" w:color="auto"/>
                    <w:right w:val="none" w:sz="0" w:space="0" w:color="auto"/>
                  </w:divBdr>
                  <w:divsChild>
                    <w:div w:id="1660956818">
                      <w:marLeft w:val="0"/>
                      <w:marRight w:val="0"/>
                      <w:marTop w:val="0"/>
                      <w:marBottom w:val="0"/>
                      <w:divBdr>
                        <w:top w:val="none" w:sz="0" w:space="0" w:color="auto"/>
                        <w:left w:val="none" w:sz="0" w:space="0" w:color="auto"/>
                        <w:bottom w:val="none" w:sz="0" w:space="0" w:color="auto"/>
                        <w:right w:val="none" w:sz="0" w:space="0" w:color="auto"/>
                      </w:divBdr>
                      <w:divsChild>
                        <w:div w:id="187065337">
                          <w:marLeft w:val="0"/>
                          <w:marRight w:val="0"/>
                          <w:marTop w:val="75"/>
                          <w:marBottom w:val="75"/>
                          <w:divBdr>
                            <w:top w:val="none" w:sz="0" w:space="0" w:color="auto"/>
                            <w:left w:val="none" w:sz="0" w:space="0" w:color="auto"/>
                            <w:bottom w:val="none" w:sz="0" w:space="0" w:color="auto"/>
                            <w:right w:val="none" w:sz="0" w:space="0" w:color="auto"/>
                          </w:divBdr>
                          <w:divsChild>
                            <w:div w:id="1118796592">
                              <w:marLeft w:val="0"/>
                              <w:marRight w:val="0"/>
                              <w:marTop w:val="0"/>
                              <w:marBottom w:val="0"/>
                              <w:divBdr>
                                <w:top w:val="none" w:sz="0" w:space="0" w:color="auto"/>
                                <w:left w:val="none" w:sz="0" w:space="0" w:color="auto"/>
                                <w:bottom w:val="none" w:sz="0" w:space="0" w:color="auto"/>
                                <w:right w:val="none" w:sz="0" w:space="0" w:color="auto"/>
                              </w:divBdr>
                              <w:divsChild>
                                <w:div w:id="1360739984">
                                  <w:marLeft w:val="0"/>
                                  <w:marRight w:val="0"/>
                                  <w:marTop w:val="0"/>
                                  <w:marBottom w:val="0"/>
                                  <w:divBdr>
                                    <w:top w:val="none" w:sz="0" w:space="0" w:color="auto"/>
                                    <w:left w:val="none" w:sz="0" w:space="0" w:color="auto"/>
                                    <w:bottom w:val="none" w:sz="0" w:space="0" w:color="auto"/>
                                    <w:right w:val="none" w:sz="0" w:space="0" w:color="auto"/>
                                  </w:divBdr>
                                </w:div>
                                <w:div w:id="705519547">
                                  <w:marLeft w:val="0"/>
                                  <w:marRight w:val="0"/>
                                  <w:marTop w:val="0"/>
                                  <w:marBottom w:val="0"/>
                                  <w:divBdr>
                                    <w:top w:val="none" w:sz="0" w:space="0" w:color="auto"/>
                                    <w:left w:val="none" w:sz="0" w:space="0" w:color="auto"/>
                                    <w:bottom w:val="none" w:sz="0" w:space="0" w:color="auto"/>
                                    <w:right w:val="none" w:sz="0" w:space="0" w:color="auto"/>
                                  </w:divBdr>
                                </w:div>
                                <w:div w:id="846557163">
                                  <w:marLeft w:val="0"/>
                                  <w:marRight w:val="0"/>
                                  <w:marTop w:val="0"/>
                                  <w:marBottom w:val="0"/>
                                  <w:divBdr>
                                    <w:top w:val="none" w:sz="0" w:space="0" w:color="auto"/>
                                    <w:left w:val="none" w:sz="0" w:space="0" w:color="auto"/>
                                    <w:bottom w:val="none" w:sz="0" w:space="0" w:color="auto"/>
                                    <w:right w:val="none" w:sz="0" w:space="0" w:color="auto"/>
                                  </w:divBdr>
                                </w:div>
                                <w:div w:id="630550404">
                                  <w:marLeft w:val="0"/>
                                  <w:marRight w:val="0"/>
                                  <w:marTop w:val="0"/>
                                  <w:marBottom w:val="0"/>
                                  <w:divBdr>
                                    <w:top w:val="none" w:sz="0" w:space="0" w:color="auto"/>
                                    <w:left w:val="none" w:sz="0" w:space="0" w:color="auto"/>
                                    <w:bottom w:val="none" w:sz="0" w:space="0" w:color="auto"/>
                                    <w:right w:val="none" w:sz="0" w:space="0" w:color="auto"/>
                                  </w:divBdr>
                                </w:div>
                                <w:div w:id="1329019614">
                                  <w:marLeft w:val="0"/>
                                  <w:marRight w:val="0"/>
                                  <w:marTop w:val="0"/>
                                  <w:marBottom w:val="0"/>
                                  <w:divBdr>
                                    <w:top w:val="none" w:sz="0" w:space="0" w:color="auto"/>
                                    <w:left w:val="none" w:sz="0" w:space="0" w:color="auto"/>
                                    <w:bottom w:val="none" w:sz="0" w:space="0" w:color="auto"/>
                                    <w:right w:val="none" w:sz="0" w:space="0" w:color="auto"/>
                                  </w:divBdr>
                                </w:div>
                                <w:div w:id="1622761987">
                                  <w:marLeft w:val="0"/>
                                  <w:marRight w:val="0"/>
                                  <w:marTop w:val="0"/>
                                  <w:marBottom w:val="0"/>
                                  <w:divBdr>
                                    <w:top w:val="none" w:sz="0" w:space="0" w:color="auto"/>
                                    <w:left w:val="none" w:sz="0" w:space="0" w:color="auto"/>
                                    <w:bottom w:val="none" w:sz="0" w:space="0" w:color="auto"/>
                                    <w:right w:val="none" w:sz="0" w:space="0" w:color="auto"/>
                                  </w:divBdr>
                                </w:div>
                                <w:div w:id="580138789">
                                  <w:marLeft w:val="0"/>
                                  <w:marRight w:val="0"/>
                                  <w:marTop w:val="0"/>
                                  <w:marBottom w:val="0"/>
                                  <w:divBdr>
                                    <w:top w:val="none" w:sz="0" w:space="0" w:color="auto"/>
                                    <w:left w:val="none" w:sz="0" w:space="0" w:color="auto"/>
                                    <w:bottom w:val="none" w:sz="0" w:space="0" w:color="auto"/>
                                    <w:right w:val="none" w:sz="0" w:space="0" w:color="auto"/>
                                  </w:divBdr>
                                </w:div>
                                <w:div w:id="813256183">
                                  <w:marLeft w:val="0"/>
                                  <w:marRight w:val="0"/>
                                  <w:marTop w:val="0"/>
                                  <w:marBottom w:val="0"/>
                                  <w:divBdr>
                                    <w:top w:val="none" w:sz="0" w:space="0" w:color="auto"/>
                                    <w:left w:val="none" w:sz="0" w:space="0" w:color="auto"/>
                                    <w:bottom w:val="none" w:sz="0" w:space="0" w:color="auto"/>
                                    <w:right w:val="none" w:sz="0" w:space="0" w:color="auto"/>
                                  </w:divBdr>
                                </w:div>
                                <w:div w:id="761267139">
                                  <w:marLeft w:val="0"/>
                                  <w:marRight w:val="0"/>
                                  <w:marTop w:val="0"/>
                                  <w:marBottom w:val="0"/>
                                  <w:divBdr>
                                    <w:top w:val="none" w:sz="0" w:space="0" w:color="auto"/>
                                    <w:left w:val="none" w:sz="0" w:space="0" w:color="auto"/>
                                    <w:bottom w:val="none" w:sz="0" w:space="0" w:color="auto"/>
                                    <w:right w:val="none" w:sz="0" w:space="0" w:color="auto"/>
                                  </w:divBdr>
                                </w:div>
                                <w:div w:id="1579948713">
                                  <w:marLeft w:val="0"/>
                                  <w:marRight w:val="0"/>
                                  <w:marTop w:val="0"/>
                                  <w:marBottom w:val="0"/>
                                  <w:divBdr>
                                    <w:top w:val="none" w:sz="0" w:space="0" w:color="auto"/>
                                    <w:left w:val="none" w:sz="0" w:space="0" w:color="auto"/>
                                    <w:bottom w:val="none" w:sz="0" w:space="0" w:color="auto"/>
                                    <w:right w:val="none" w:sz="0" w:space="0" w:color="auto"/>
                                  </w:divBdr>
                                </w:div>
                                <w:div w:id="1377462446">
                                  <w:marLeft w:val="0"/>
                                  <w:marRight w:val="0"/>
                                  <w:marTop w:val="0"/>
                                  <w:marBottom w:val="0"/>
                                  <w:divBdr>
                                    <w:top w:val="none" w:sz="0" w:space="0" w:color="auto"/>
                                    <w:left w:val="none" w:sz="0" w:space="0" w:color="auto"/>
                                    <w:bottom w:val="none" w:sz="0" w:space="0" w:color="auto"/>
                                    <w:right w:val="none" w:sz="0" w:space="0" w:color="auto"/>
                                  </w:divBdr>
                                </w:div>
                                <w:div w:id="19741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559467">
      <w:bodyDiv w:val="1"/>
      <w:marLeft w:val="0"/>
      <w:marRight w:val="0"/>
      <w:marTop w:val="0"/>
      <w:marBottom w:val="0"/>
      <w:divBdr>
        <w:top w:val="none" w:sz="0" w:space="0" w:color="auto"/>
        <w:left w:val="none" w:sz="0" w:space="0" w:color="auto"/>
        <w:bottom w:val="none" w:sz="0" w:space="0" w:color="auto"/>
        <w:right w:val="none" w:sz="0" w:space="0" w:color="auto"/>
      </w:divBdr>
      <w:divsChild>
        <w:div w:id="1640265777">
          <w:marLeft w:val="0"/>
          <w:marRight w:val="0"/>
          <w:marTop w:val="0"/>
          <w:marBottom w:val="0"/>
          <w:divBdr>
            <w:top w:val="none" w:sz="0" w:space="0" w:color="auto"/>
            <w:left w:val="none" w:sz="0" w:space="0" w:color="auto"/>
            <w:bottom w:val="none" w:sz="0" w:space="0" w:color="auto"/>
            <w:right w:val="none" w:sz="0" w:space="0" w:color="auto"/>
          </w:divBdr>
          <w:divsChild>
            <w:div w:id="69622653">
              <w:marLeft w:val="0"/>
              <w:marRight w:val="0"/>
              <w:marTop w:val="0"/>
              <w:marBottom w:val="0"/>
              <w:divBdr>
                <w:top w:val="none" w:sz="0" w:space="0" w:color="auto"/>
                <w:left w:val="none" w:sz="0" w:space="0" w:color="auto"/>
                <w:bottom w:val="none" w:sz="0" w:space="0" w:color="auto"/>
                <w:right w:val="none" w:sz="0" w:space="0" w:color="auto"/>
              </w:divBdr>
            </w:div>
          </w:divsChild>
        </w:div>
        <w:div w:id="999191756">
          <w:marLeft w:val="0"/>
          <w:marRight w:val="0"/>
          <w:marTop w:val="0"/>
          <w:marBottom w:val="0"/>
          <w:divBdr>
            <w:top w:val="none" w:sz="0" w:space="0" w:color="auto"/>
            <w:left w:val="none" w:sz="0" w:space="0" w:color="auto"/>
            <w:bottom w:val="none" w:sz="0" w:space="0" w:color="auto"/>
            <w:right w:val="none" w:sz="0" w:space="0" w:color="auto"/>
          </w:divBdr>
          <w:divsChild>
            <w:div w:id="781456183">
              <w:marLeft w:val="0"/>
              <w:marRight w:val="0"/>
              <w:marTop w:val="0"/>
              <w:marBottom w:val="0"/>
              <w:divBdr>
                <w:top w:val="none" w:sz="0" w:space="0" w:color="auto"/>
                <w:left w:val="none" w:sz="0" w:space="0" w:color="auto"/>
                <w:bottom w:val="none" w:sz="0" w:space="0" w:color="auto"/>
                <w:right w:val="none" w:sz="0" w:space="0" w:color="auto"/>
              </w:divBdr>
              <w:divsChild>
                <w:div w:id="1717387169">
                  <w:marLeft w:val="0"/>
                  <w:marRight w:val="0"/>
                  <w:marTop w:val="0"/>
                  <w:marBottom w:val="0"/>
                  <w:divBdr>
                    <w:top w:val="none" w:sz="0" w:space="0" w:color="auto"/>
                    <w:left w:val="none" w:sz="0" w:space="0" w:color="auto"/>
                    <w:bottom w:val="none" w:sz="0" w:space="0" w:color="auto"/>
                    <w:right w:val="none" w:sz="0" w:space="0" w:color="auto"/>
                  </w:divBdr>
                  <w:divsChild>
                    <w:div w:id="942494716">
                      <w:marLeft w:val="0"/>
                      <w:marRight w:val="0"/>
                      <w:marTop w:val="0"/>
                      <w:marBottom w:val="0"/>
                      <w:divBdr>
                        <w:top w:val="none" w:sz="0" w:space="0" w:color="auto"/>
                        <w:left w:val="none" w:sz="0" w:space="0" w:color="auto"/>
                        <w:bottom w:val="none" w:sz="0" w:space="0" w:color="auto"/>
                        <w:right w:val="none" w:sz="0" w:space="0" w:color="auto"/>
                      </w:divBdr>
                      <w:divsChild>
                        <w:div w:id="417992092">
                          <w:marLeft w:val="0"/>
                          <w:marRight w:val="0"/>
                          <w:marTop w:val="0"/>
                          <w:marBottom w:val="150"/>
                          <w:divBdr>
                            <w:top w:val="none" w:sz="0" w:space="0" w:color="auto"/>
                            <w:left w:val="none" w:sz="0" w:space="0" w:color="auto"/>
                            <w:bottom w:val="single" w:sz="12" w:space="0" w:color="E7E9EE"/>
                            <w:right w:val="none" w:sz="0" w:space="0" w:color="auto"/>
                          </w:divBdr>
                        </w:div>
                        <w:div w:id="1355889516">
                          <w:marLeft w:val="0"/>
                          <w:marRight w:val="0"/>
                          <w:marTop w:val="0"/>
                          <w:marBottom w:val="0"/>
                          <w:divBdr>
                            <w:top w:val="none" w:sz="0" w:space="0" w:color="auto"/>
                            <w:left w:val="none" w:sz="0" w:space="0" w:color="auto"/>
                            <w:bottom w:val="none" w:sz="0" w:space="0" w:color="auto"/>
                            <w:right w:val="none" w:sz="0" w:space="0" w:color="auto"/>
                          </w:divBdr>
                        </w:div>
                      </w:divsChild>
                    </w:div>
                    <w:div w:id="1989238877">
                      <w:marLeft w:val="0"/>
                      <w:marRight w:val="0"/>
                      <w:marTop w:val="0"/>
                      <w:marBottom w:val="0"/>
                      <w:divBdr>
                        <w:top w:val="none" w:sz="0" w:space="0" w:color="auto"/>
                        <w:left w:val="none" w:sz="0" w:space="0" w:color="auto"/>
                        <w:bottom w:val="none" w:sz="0" w:space="0" w:color="auto"/>
                        <w:right w:val="none" w:sz="0" w:space="0" w:color="auto"/>
                      </w:divBdr>
                      <w:divsChild>
                        <w:div w:id="1456214374">
                          <w:marLeft w:val="0"/>
                          <w:marRight w:val="0"/>
                          <w:marTop w:val="0"/>
                          <w:marBottom w:val="0"/>
                          <w:divBdr>
                            <w:top w:val="none" w:sz="0" w:space="0" w:color="auto"/>
                            <w:left w:val="none" w:sz="0" w:space="0" w:color="auto"/>
                            <w:bottom w:val="none" w:sz="0" w:space="0" w:color="auto"/>
                            <w:right w:val="none" w:sz="0" w:space="0" w:color="auto"/>
                          </w:divBdr>
                          <w:divsChild>
                            <w:div w:id="1355230843">
                              <w:marLeft w:val="0"/>
                              <w:marRight w:val="0"/>
                              <w:marTop w:val="0"/>
                              <w:marBottom w:val="0"/>
                              <w:divBdr>
                                <w:top w:val="none" w:sz="0" w:space="0" w:color="auto"/>
                                <w:left w:val="none" w:sz="0" w:space="0" w:color="auto"/>
                                <w:bottom w:val="none" w:sz="0" w:space="0" w:color="auto"/>
                                <w:right w:val="none" w:sz="0" w:space="0" w:color="auto"/>
                              </w:divBdr>
                              <w:divsChild>
                                <w:div w:id="6716527">
                                  <w:marLeft w:val="0"/>
                                  <w:marRight w:val="0"/>
                                  <w:marTop w:val="0"/>
                                  <w:marBottom w:val="0"/>
                                  <w:divBdr>
                                    <w:top w:val="none" w:sz="0" w:space="0" w:color="auto"/>
                                    <w:left w:val="none" w:sz="0" w:space="0" w:color="auto"/>
                                    <w:bottom w:val="none" w:sz="0" w:space="0" w:color="auto"/>
                                    <w:right w:val="none" w:sz="0" w:space="0" w:color="auto"/>
                                  </w:divBdr>
                                </w:div>
                              </w:divsChild>
                            </w:div>
                            <w:div w:id="1472406272">
                              <w:marLeft w:val="0"/>
                              <w:marRight w:val="0"/>
                              <w:marTop w:val="0"/>
                              <w:marBottom w:val="0"/>
                              <w:divBdr>
                                <w:top w:val="none" w:sz="0" w:space="0" w:color="auto"/>
                                <w:left w:val="none" w:sz="0" w:space="0" w:color="auto"/>
                                <w:bottom w:val="none" w:sz="0" w:space="0" w:color="auto"/>
                                <w:right w:val="none" w:sz="0" w:space="0" w:color="auto"/>
                              </w:divBdr>
                              <w:divsChild>
                                <w:div w:id="914245372">
                                  <w:marLeft w:val="0"/>
                                  <w:marRight w:val="0"/>
                                  <w:marTop w:val="0"/>
                                  <w:marBottom w:val="0"/>
                                  <w:divBdr>
                                    <w:top w:val="none" w:sz="0" w:space="0" w:color="auto"/>
                                    <w:left w:val="none" w:sz="0" w:space="0" w:color="auto"/>
                                    <w:bottom w:val="none" w:sz="0" w:space="0" w:color="auto"/>
                                    <w:right w:val="none" w:sz="0" w:space="0" w:color="auto"/>
                                  </w:divBdr>
                                  <w:divsChild>
                                    <w:div w:id="954869148">
                                      <w:marLeft w:val="0"/>
                                      <w:marRight w:val="0"/>
                                      <w:marTop w:val="0"/>
                                      <w:marBottom w:val="0"/>
                                      <w:divBdr>
                                        <w:top w:val="none" w:sz="0" w:space="0" w:color="auto"/>
                                        <w:left w:val="none" w:sz="0" w:space="0" w:color="auto"/>
                                        <w:bottom w:val="none" w:sz="0" w:space="0" w:color="auto"/>
                                        <w:right w:val="none" w:sz="0" w:space="0" w:color="auto"/>
                                      </w:divBdr>
                                    </w:div>
                                    <w:div w:id="1570846937">
                                      <w:marLeft w:val="0"/>
                                      <w:marRight w:val="0"/>
                                      <w:marTop w:val="0"/>
                                      <w:marBottom w:val="0"/>
                                      <w:divBdr>
                                        <w:top w:val="none" w:sz="0" w:space="0" w:color="auto"/>
                                        <w:left w:val="none" w:sz="0" w:space="0" w:color="auto"/>
                                        <w:bottom w:val="none" w:sz="0" w:space="0" w:color="auto"/>
                                        <w:right w:val="none" w:sz="0" w:space="0" w:color="auto"/>
                                      </w:divBdr>
                                      <w:divsChild>
                                        <w:div w:id="1827360189">
                                          <w:marLeft w:val="0"/>
                                          <w:marRight w:val="0"/>
                                          <w:marTop w:val="0"/>
                                          <w:marBottom w:val="0"/>
                                          <w:divBdr>
                                            <w:top w:val="none" w:sz="0" w:space="0" w:color="auto"/>
                                            <w:left w:val="none" w:sz="0" w:space="0" w:color="auto"/>
                                            <w:bottom w:val="none" w:sz="0" w:space="0" w:color="auto"/>
                                            <w:right w:val="none" w:sz="0" w:space="0" w:color="auto"/>
                                          </w:divBdr>
                                          <w:divsChild>
                                            <w:div w:id="1544899302">
                                              <w:marLeft w:val="0"/>
                                              <w:marRight w:val="0"/>
                                              <w:marTop w:val="0"/>
                                              <w:marBottom w:val="0"/>
                                              <w:divBdr>
                                                <w:top w:val="none" w:sz="0" w:space="0" w:color="auto"/>
                                                <w:left w:val="none" w:sz="0" w:space="0" w:color="auto"/>
                                                <w:bottom w:val="none" w:sz="0" w:space="0" w:color="auto"/>
                                                <w:right w:val="none" w:sz="0" w:space="0" w:color="auto"/>
                                              </w:divBdr>
                                            </w:div>
                                            <w:div w:id="17106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20484">
                      <w:marLeft w:val="0"/>
                      <w:marRight w:val="0"/>
                      <w:marTop w:val="0"/>
                      <w:marBottom w:val="0"/>
                      <w:divBdr>
                        <w:top w:val="none" w:sz="0" w:space="0" w:color="auto"/>
                        <w:left w:val="none" w:sz="0" w:space="0" w:color="auto"/>
                        <w:bottom w:val="none" w:sz="0" w:space="0" w:color="auto"/>
                        <w:right w:val="none" w:sz="0" w:space="0" w:color="auto"/>
                      </w:divBdr>
                      <w:divsChild>
                        <w:div w:id="1134101577">
                          <w:marLeft w:val="0"/>
                          <w:marRight w:val="0"/>
                          <w:marTop w:val="0"/>
                          <w:marBottom w:val="0"/>
                          <w:divBdr>
                            <w:top w:val="none" w:sz="0" w:space="0" w:color="auto"/>
                            <w:left w:val="none" w:sz="0" w:space="0" w:color="auto"/>
                            <w:bottom w:val="none" w:sz="0" w:space="0" w:color="auto"/>
                            <w:right w:val="none" w:sz="0" w:space="0" w:color="auto"/>
                          </w:divBdr>
                          <w:divsChild>
                            <w:div w:id="19640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in.gr/laws/law/3767/nomos-4622-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orin.gr/laws/law/3894/n-471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ilektrologoi.adeiouxoi" TargetMode="External"/><Relationship Id="rId11" Type="http://schemas.openxmlformats.org/officeDocument/2006/relationships/hyperlink" Target="https://www.forin.gr/laws/law/3037/aplopoihsh-ths-adeiodothshs-texnikwn-epaggelmatikwn-kai-metapoihtikwn-drasthriothtwn-kai-epixeirhmatikwn-parkwn-kai-alles-diatakseis" TargetMode="External"/><Relationship Id="rId5" Type="http://schemas.openxmlformats.org/officeDocument/2006/relationships/hyperlink" Target="https://www.facebook.com/groups/202910976537492/user/1328047987/?__cft__%5b0%5d=AZVv_P-3Xd4shxJVpimxO1r3mkeNu_7JIGWu7wLxwsShm-U7AnT_EOTWv9mp1ydv5MO1_bjpMwLZbQY6BgYGNcdWYz40hhfVVOsUUC0zXw1BjX2QmYl1vjTPyyQOKNKRgb5LbTR97u_Jo7aqrYYxXEq409mHwSbmGecNCUkNcE3r4wf0HjM8GG_-JoJqf0Ln8-o&amp;__tn__=-UC%2CP-R" TargetMode="External"/><Relationship Id="rId10" Type="http://schemas.openxmlformats.org/officeDocument/2006/relationships/hyperlink" Target="https://www.forin.gr/laws/law/3037/aplopoihsh-ths-adeiodothshs-texnikwn-epaggelmatikwn-kai-metapoihtikwn-drasthriothtwn-kai-epixeirhmatikwn-parkwn-kai-alles-diatakseis" TargetMode="External"/><Relationship Id="rId4" Type="http://schemas.openxmlformats.org/officeDocument/2006/relationships/webSettings" Target="webSettings.xml"/><Relationship Id="rId9" Type="http://schemas.openxmlformats.org/officeDocument/2006/relationships/hyperlink" Target="https://www.forin.gr/laws/law/3732/n-4605-2019"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3133</Words>
  <Characters>16922</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 flamp</dc:creator>
  <cp:keywords/>
  <dc:description/>
  <cp:lastModifiedBy>telis flamp</cp:lastModifiedBy>
  <cp:revision>2</cp:revision>
  <dcterms:created xsi:type="dcterms:W3CDTF">2021-11-02T17:51:00Z</dcterms:created>
  <dcterms:modified xsi:type="dcterms:W3CDTF">2021-11-02T17:51:00Z</dcterms:modified>
</cp:coreProperties>
</file>